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SoundCraft AI Product Requirements</w:t>
      </w:r>
    </w:p>
    <w:p>
      <w:pPr>
        <w:spacing w:after="60"/>
      </w:pPr>
      <w:r>
        <w:rPr>
          <w:b/>
        </w:rPr>
        <w:t>Version:</w:t>
      </w:r>
      <w:r>
        <w:t xml:space="preserve"> 0.3</w:t>
      </w:r>
    </w:p>
    <w:p>
      <w:pPr>
        <w:spacing w:after="60"/>
      </w:pPr>
      <w:r>
        <w:rPr>
          <w:b/>
        </w:rPr>
        <w:t>Date:</w:t>
      </w:r>
      <w:r>
        <w:t xml:space="preserve"> 14 October 2026</w:t>
      </w:r>
    </w:p>
    <w:p>
      <w:pPr>
        <w:spacing w:after="60"/>
      </w:pPr>
      <w:r>
        <w:rPr>
          <w:b/>
        </w:rPr>
        <w:t>Status:</w:t>
      </w:r>
      <w:r>
        <w:t xml:space="preserve"> Draft for product discovery and foundation qualification</w:t>
      </w:r>
    </w:p>
    <w:p>
      <w:pPr>
        <w:spacing w:after="60"/>
      </w:pPr>
      <w:r>
        <w:rPr>
          <w:b/>
        </w:rPr>
        <w:t>Project:</w:t>
      </w:r>
      <w:r>
        <w:t xml:space="preserve"> SoundCraft-AI</w:t>
      </w:r>
    </w:p>
    <w:p>
      <w:r>
        <w:rPr>
          <w:b/>
        </w:rPr>
        <w:t>Supersedes:</w:t>
      </w:r>
      <w:r>
        <w:t xml:space="preserve"> Product Requirements Document version 0.2 dated 13 October 2026</w:t>
      </w:r>
    </w:p>
    <w:p>
      <w:r>
        <w:t>This specification defines the first complete SoundCraft-AI workflow for an independent vocalist: import or record a lead vocal, inspect its pitch and recording characteristics, review a gain, EQ or compression proposal, audition it, and keep or reject the changes without losing source audio or unrelated work.</w:t>
      </w:r>
    </w:p>
    <w:p>
      <w:r>
        <w:t>The long-term vision remains an AI-assisted digital audio workstation for recording, editing, arranging, mixing and mastering. Version 0.3 tests the value of vocal feedback and production assistance before the full session-editing controller is built. It corrects the upstream capability baseline, makes useful pitch feedback available without a MIDI reference, and assigns processing proposals to local deterministic rules. All numerical thresholds are proposed requirements, not measured results. The default early-access recording workflow uses a qualified interface with hardware direct monitoring; software monitoring is an additional qualification.</w:t>
      </w:r>
    </w:p>
    <w:p>
      <w:pPr>
        <w:pStyle w:val="Heading1"/>
      </w:pPr>
      <w:r>
        <w:t>1 Product intent and users</w:t>
      </w:r>
    </w:p>
    <w:p>
      <w:pPr>
        <w:pStyle w:val="Heading2"/>
      </w:pPr>
      <w:r>
        <w:t>1.1 Product outcome</w:t>
      </w:r>
    </w:p>
    <w:p>
      <w:r>
        <w:t>Help a recording artist reach a vocal result they want to keep with less engineering effort, while retaining direct control over the session. Success requires an audible, useful result and dependable recovery. Natural-language command execution alone does not establish product value.</w:t>
      </w:r>
    </w:p>
    <w:p>
      <w:r>
        <w:t>The launch hypothesis is that reference-aware vocal feedback, understandable processing proposals and trustworthy auditioning will be useful enough to bring artists into this workflow. Adoption and differentiation remain hypotheses to test with users.</w:t>
      </w:r>
    </w:p>
    <w:p>
      <w:pPr>
        <w:pStyle w:val="Heading2"/>
      </w:pPr>
      <w:r>
        <w:t>1.2 Primary audience</w:t>
      </w:r>
    </w:p>
    <w:p>
      <w:r>
        <w:t>The first audience is an independent vocalist recording at home and working with an imported backing track or a small set of stems. They can identify their lead vocal and musical intention but may need help with pitch interpretation, gain, EQ and compression.</w:t>
      </w:r>
    </w:p>
    <w:p>
      <w:r>
        <w:t>Singer-songwriters who need substantial MIDI composition and professional engineers with complex routing are later expansion audiences. Their existing manual DAW workflows may remain available, but they do not expand the first release's qualified AI feature set.</w:t>
      </w:r>
    </w:p>
    <w:p>
      <w:pPr>
        <w:pStyle w:val="Heading2"/>
      </w:pPr>
      <w:r>
        <w:t>1.3 Product principles</w:t>
      </w:r>
    </w:p>
    <w:p>
      <w:pPr>
        <w:pStyle w:val="ListBullet"/>
      </w:pPr>
      <w:r>
        <w:t>Measured facts must come from audio analysis or validated session state.</w:t>
      </w:r>
    </w:p>
    <w:p>
      <w:pPr>
        <w:pStyle w:val="ListBullet"/>
      </w:pPr>
      <w:r>
        <w:t>Suggestions must identify their assumptions and uncertainty.</w:t>
      </w:r>
    </w:p>
    <w:p>
      <w:pPr>
        <w:pStyle w:val="ListBullet"/>
      </w:pPr>
      <w:r>
        <w:t>The user decides whether a processing result is musically preferable.</w:t>
      </w:r>
    </w:p>
    <w:p>
      <w:pPr>
        <w:pStyle w:val="ListBullet"/>
      </w:pPr>
      <w:r>
        <w:t>Original media remains intact. Supported session changes are reversible.</w:t>
      </w:r>
    </w:p>
    <w:p>
      <w:pPr>
        <w:pStyle w:val="ListBullet"/>
      </w:pPr>
      <w:r>
        <w:t>Manual actions use the same authoritative session model as AI actions.</w:t>
      </w:r>
    </w:p>
    <w:p>
      <w:pPr>
        <w:pStyle w:val="ListBullet"/>
      </w:pPr>
      <w:r>
        <w:t>Playback, recording, manual editing and local analysis remain useful without cloud AI.</w:t>
      </w:r>
    </w:p>
    <w:p>
      <w:pPr>
        <w:pStyle w:val="ListBullet"/>
      </w:pPr>
      <w:r>
        <w:t>Unavailable operations must be identified before execution.</w:t>
      </w:r>
    </w:p>
    <w:p>
      <w:pPr>
        <w:pStyle w:val="Heading1"/>
      </w:pPr>
      <w:r>
        <w:t>2 Changes in this revision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7949"/>
      </w:tblGrid>
      <w:tr>
        <w:trPr>
          <w:cantSplit/>
          <w:tblHeader/>
        </w:trPr>
        <w:tc>
          <w:tcPr>
            <w:tcW w:type="dxa" w:w="2131"/>
            <w:vAlign w:val="center"/>
            <w:shd w:fill="243B53"/>
            <w:tcMar>
              <w:top w:w="65" w:type="dxa"/>
              <w:bottom w:w="65" w:type="dxa"/>
              <w:left w:w="95" w:type="dxa"/>
              <w:right w:w="95" w:type="dxa"/>
            </w:tcMar>
          </w:tcPr>
          <w:p>
            <w:pPr>
              <w:spacing w:line="254" w:lineRule="auto" w:after="40" w:before="40"/>
            </w:pPr>
            <w:r>
              <w:rPr>
                <w:b/>
                <w:color w:val="FFFFFF"/>
                <w:sz w:val="21"/>
              </w:rPr>
              <w:t>Area</w:t>
            </w:r>
          </w:p>
        </w:tc>
        <w:tc>
          <w:tcPr>
            <w:tcW w:type="dxa" w:w="7949"/>
            <w:vAlign w:val="center"/>
            <w:shd w:fill="243B53"/>
            <w:tcMar>
              <w:top w:w="65" w:type="dxa"/>
              <w:bottom w:w="65" w:type="dxa"/>
              <w:left w:w="95" w:type="dxa"/>
              <w:right w:w="95" w:type="dxa"/>
            </w:tcMar>
          </w:tcPr>
          <w:p>
            <w:pPr>
              <w:spacing w:line="254" w:lineRule="auto" w:after="40" w:before="40"/>
            </w:pPr>
            <w:r>
              <w:rPr>
                <w:b/>
                <w:color w:val="FFFFFF"/>
                <w:sz w:val="21"/>
              </w:rPr>
              <w:t>Version 0.3 decision</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Upstream evidence</w:t>
            </w:r>
          </w:p>
        </w:tc>
        <w:tc>
          <w:tcPr>
            <w:tcW w:type="dxa" w:w="7949"/>
            <w:vAlign w:val="center"/>
            <w:shd w:fill="F2F5F8"/>
            <w:tcMar>
              <w:top w:w="65" w:type="dxa"/>
              <w:bottom w:w="65" w:type="dxa"/>
              <w:left w:w="95" w:type="dxa"/>
              <w:right w:w="95" w:type="dxa"/>
            </w:tcMar>
          </w:tcPr>
          <w:p>
            <w:pPr>
              <w:spacing w:line="254" w:lineRule="auto" w:after="40" w:before="40"/>
            </w:pPr>
            <w:r>
              <w:rPr>
                <w:sz w:val="21"/>
              </w:rPr>
              <w:t>Separate documentation, inspected source and runtime qualification; retain the existing pinned commit</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Recording</w:t>
            </w:r>
          </w:p>
        </w:tc>
        <w:tc>
          <w:tcPr>
            <w:tcW w:type="dxa" w:w="7949"/>
            <w:vAlign w:val="center"/>
            <w:shd w:fill="FFFFFF"/>
            <w:tcMar>
              <w:top w:w="65" w:type="dxa"/>
              <w:bottom w:w="65" w:type="dxa"/>
              <w:left w:w="95" w:type="dxa"/>
              <w:right w:w="95" w:type="dxa"/>
            </w:tcMar>
          </w:tcPr>
          <w:p>
            <w:pPr>
              <w:spacing w:line="254" w:lineRule="auto" w:after="40" w:before="40"/>
            </w:pPr>
            <w:r>
              <w:rPr>
                <w:sz w:val="21"/>
              </w:rPr>
              <w:t>Disk recording already exists; qualify its integrity and recovery instead of planning a duplicate implementation</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Session control</w:t>
            </w:r>
          </w:p>
        </w:tc>
        <w:tc>
          <w:tcPr>
            <w:tcW w:type="dxa" w:w="7949"/>
            <w:vAlign w:val="center"/>
            <w:shd w:fill="F2F5F8"/>
            <w:tcMar>
              <w:top w:w="65" w:type="dxa"/>
              <w:bottom w:w="65" w:type="dxa"/>
              <w:left w:w="95" w:type="dxa"/>
              <w:right w:w="95" w:type="dxa"/>
            </w:tcMar>
          </w:tcPr>
          <w:p>
            <w:pPr>
              <w:spacing w:line="254" w:lineRule="auto" w:after="40" w:before="40"/>
            </w:pPr>
            <w:r>
              <w:rPr>
                <w:sz w:val="21"/>
              </w:rPr>
              <w:t>Reuse the existing revision counter and copy-on-write history where suitable; add missing external preconditions and grouped publication</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Product validation</w:t>
            </w:r>
          </w:p>
        </w:tc>
        <w:tc>
          <w:tcPr>
            <w:tcW w:type="dxa" w:w="7949"/>
            <w:vAlign w:val="center"/>
            <w:shd w:fill="FFFFFF"/>
            <w:tcMar>
              <w:top w:w="65" w:type="dxa"/>
              <w:bottom w:w="65" w:type="dxa"/>
              <w:left w:w="95" w:type="dxa"/>
              <w:right w:w="95" w:type="dxa"/>
            </w:tcMar>
          </w:tcPr>
          <w:p>
            <w:pPr>
              <w:spacing w:line="254" w:lineRule="auto" w:after="40" w:before="40"/>
            </w:pPr>
            <w:r>
              <w:rPr>
                <w:sz w:val="21"/>
              </w:rPr>
              <w:t>Add a Phase 0 trial with 6 to 8 vocalists before investing in the full mutation controller</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Pitch experience</w:t>
            </w:r>
          </w:p>
        </w:tc>
        <w:tc>
          <w:tcPr>
            <w:tcW w:type="dxa" w:w="7949"/>
            <w:vAlign w:val="center"/>
            <w:shd w:fill="F2F5F8"/>
            <w:tcMar>
              <w:top w:w="65" w:type="dxa"/>
              <w:bottom w:w="65" w:type="dxa"/>
              <w:left w:w="95" w:type="dxa"/>
              <w:right w:w="95" w:type="dxa"/>
            </w:tcMar>
          </w:tcPr>
          <w:p>
            <w:pPr>
              <w:spacing w:line="254" w:lineRule="auto" w:after="40" w:before="40"/>
            </w:pPr>
            <w:r>
              <w:rPr>
                <w:sz w:val="21"/>
              </w:rPr>
              <w:t>Sa and continuous pitch first; nearest-degree display and selected-note practice require no MIDI; timed MIDI is advanced</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Guide recordings</w:t>
            </w:r>
          </w:p>
        </w:tc>
        <w:tc>
          <w:tcPr>
            <w:tcW w:type="dxa" w:w="7949"/>
            <w:vAlign w:val="center"/>
            <w:shd w:fill="FFFFFF"/>
            <w:tcMar>
              <w:top w:w="65" w:type="dxa"/>
              <w:bottom w:w="65" w:type="dxa"/>
              <w:left w:w="95" w:type="dxa"/>
              <w:right w:w="95" w:type="dxa"/>
            </w:tcMar>
          </w:tcPr>
          <w:p>
            <w:pPr>
              <w:spacing w:line="254" w:lineRule="auto" w:after="40" w:before="40"/>
            </w:pPr>
            <w:r>
              <w:rPr>
                <w:sz w:val="21"/>
              </w:rPr>
              <w:t>Audio-derived references are a separate experiment, with estimation and alignment uncertainty</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Processing proposals</w:t>
            </w:r>
          </w:p>
        </w:tc>
        <w:tc>
          <w:tcPr>
            <w:tcW w:type="dxa" w:w="7949"/>
            <w:vAlign w:val="center"/>
            <w:shd w:fill="F2F5F8"/>
            <w:tcMar>
              <w:top w:w="65" w:type="dxa"/>
              <w:bottom w:w="65" w:type="dxa"/>
              <w:left w:w="95" w:type="dxa"/>
              <w:right w:w="95" w:type="dxa"/>
            </w:tcMar>
          </w:tcPr>
          <w:p>
            <w:pPr>
              <w:spacing w:line="254" w:lineRule="auto" w:after="40" w:before="40"/>
            </w:pPr>
            <w:r>
              <w:rPr>
                <w:sz w:val="21"/>
              </w:rPr>
              <w:t>A versioned local policy chooses gain, EQ and compression parameters; the LLM maps intent and explains evidence</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Recording monitoring</w:t>
            </w:r>
          </w:p>
        </w:tc>
        <w:tc>
          <w:tcPr>
            <w:tcW w:type="dxa" w:w="7949"/>
            <w:vAlign w:val="center"/>
            <w:shd w:fill="FFFFFF"/>
            <w:tcMar>
              <w:top w:w="65" w:type="dxa"/>
              <w:bottom w:w="65" w:type="dxa"/>
              <w:left w:w="95" w:type="dxa"/>
              <w:right w:w="95" w:type="dxa"/>
            </w:tcMar>
          </w:tcPr>
          <w:p>
            <w:pPr>
              <w:spacing w:line="254" w:lineRule="auto" w:after="40" w:before="40"/>
            </w:pPr>
            <w:r>
              <w:rPr>
                <w:sz w:val="21"/>
              </w:rPr>
              <w:t>Hardware direct monitoring is the early-access baseline; software monitoring requires its own measured gate</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Media</w:t>
            </w:r>
          </w:p>
        </w:tc>
        <w:tc>
          <w:tcPr>
            <w:tcW w:type="dxa" w:w="7949"/>
            <w:vAlign w:val="center"/>
            <w:shd w:fill="F2F5F8"/>
            <w:tcMar>
              <w:top w:w="65" w:type="dxa"/>
              <w:bottom w:w="65" w:type="dxa"/>
              <w:left w:w="95" w:type="dxa"/>
              <w:right w:w="95" w:type="dxa"/>
            </w:tcMar>
          </w:tcPr>
          <w:p>
            <w:pPr>
              <w:spacing w:line="254" w:lineRule="auto" w:after="40" w:before="40"/>
            </w:pPr>
            <w:r>
              <w:rPr>
                <w:sz w:val="21"/>
              </w:rPr>
              <w:t>Qualify MP3 and AAC/M4A for backing audio; retain WAV for lead-vocal analysis and export</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Evaluation</w:t>
            </w:r>
          </w:p>
        </w:tc>
        <w:tc>
          <w:tcPr>
            <w:tcW w:type="dxa" w:w="7949"/>
            <w:vAlign w:val="center"/>
            <w:shd w:fill="FFFFFF"/>
            <w:tcMar>
              <w:top w:w="65" w:type="dxa"/>
              <w:bottom w:w="65" w:type="dxa"/>
              <w:left w:w="95" w:type="dxa"/>
              <w:right w:w="95" w:type="dxa"/>
            </w:tcMar>
          </w:tcPr>
          <w:p>
            <w:pPr>
              <w:spacing w:line="254" w:lineRule="auto" w:after="40" w:before="40"/>
            </w:pPr>
            <w:r>
              <w:rPr>
                <w:sz w:val="21"/>
              </w:rPr>
              <w:t>Expand singer diversity, report singer-level confidence intervals and define boundary scoring and targeting failures</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Delivery</w:t>
            </w:r>
          </w:p>
        </w:tc>
        <w:tc>
          <w:tcPr>
            <w:tcW w:type="dxa" w:w="7949"/>
            <w:vAlign w:val="center"/>
            <w:shd w:fill="F2F5F8"/>
            <w:tcMar>
              <w:top w:w="65" w:type="dxa"/>
              <w:bottom w:w="65" w:type="dxa"/>
              <w:left w:w="95" w:type="dxa"/>
              <w:right w:w="95" w:type="dxa"/>
            </w:tcMar>
          </w:tcPr>
          <w:p>
            <w:pPr>
              <w:spacing w:line="254" w:lineRule="auto" w:after="40" w:before="40"/>
            </w:pPr>
            <w:r>
              <w:rPr>
                <w:sz w:val="21"/>
              </w:rPr>
              <w:t>Timebox Phase 0 and distinguish discovery, an integrated prototype and qualified early access</w:t>
            </w:r>
          </w:p>
        </w:tc>
      </w:tr>
    </w:tbl>
    <w:p>
      <w:pPr>
        <w:spacing w:after="40" w:before="0" w:line="240" w:lineRule="auto"/>
      </w:pPr>
      <w:r>
        <w:rPr>
          <w:sz w:val="4"/>
        </w:rPr>
      </w:r>
    </w:p>
    <w:p>
      <w:r>
        <w:t>Requirement IDs FR-01 to FR-13 and release gates G01 to G13 remain stable. G00 is the new discovery gate. Existing safeguards apply when the app can mutate a working session; a supervised experiment that only produces separate preview files does not need the complete execution controller.</w:t>
      </w:r>
    </w:p>
    <w:p>
      <w:pPr>
        <w:pStyle w:val="Heading1"/>
      </w:pPr>
      <w:r>
        <w:t>3 Upstream baseline and qualification</w:t>
      </w:r>
    </w:p>
    <w:p>
      <w:pPr>
        <w:pStyle w:val="Heading2"/>
      </w:pPr>
      <w:r>
        <w:t>3.1 Pinned foundation</w:t>
      </w:r>
    </w:p>
    <w:p>
      <w:r>
        <w:t xml:space="preserve">Repository: storytold/soundcraft. The Phase 0 baseline remains commit </w:t>
      </w:r>
      <w:r>
        <w:rPr>
          <w:b/>
        </w:rPr>
        <w:t>6cf896e76c0ec82a11bf2494f209cfe7c8507f74</w:t>
      </w:r>
      <w:r>
        <w:t>, identified as the 0.6.1 release rebuild. Source inspection for this revision was performed on 14 October 2026. Retaining the pin makes the corrections below comparable with version 0.2. [S1]</w:t>
      </w:r>
    </w:p>
    <w:p>
      <w:r>
        <w:t>Every capability record must distinguish a documentation statement, an inspected implementation and a runtime result. Record the application commit, dependency lockfile, command schemas, processor manifest, test environment and evidence. Documentation is historical evidence when it disagrees with the source; neither is a substitute for a runtime test.</w:t>
      </w:r>
    </w:p>
    <w:p>
      <w:pPr>
        <w:pStyle w:val="Heading2"/>
      </w:pPr>
      <w:r>
        <w:t>3.2 Capability evidence</w:t>
      </w:r>
    </w:p>
    <w:p>
      <w:r>
        <w:t xml:space="preserve">All runtime qualification statuses begin as </w:t>
      </w:r>
      <w:r>
        <w:rPr>
          <w:b/>
        </w:rPr>
        <w:t>unverified</w:t>
      </w:r>
      <w:r>
        <w:t>. The following source findings do not assert that the packaged application meets this specification.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859"/>
        <w:gridCol w:w="4234"/>
      </w:tblGrid>
      <w:tr>
        <w:trPr>
          <w:cantSplit/>
          <w:tblHeader/>
        </w:trPr>
        <w:tc>
          <w:tcPr>
            <w:tcW w:type="dxa" w:w="1987"/>
            <w:vAlign w:val="center"/>
            <w:shd w:fill="243B53"/>
            <w:tcMar>
              <w:top w:w="65" w:type="dxa"/>
              <w:bottom w:w="65" w:type="dxa"/>
              <w:left w:w="95" w:type="dxa"/>
              <w:right w:w="95" w:type="dxa"/>
            </w:tcMar>
          </w:tcPr>
          <w:p>
            <w:pPr>
              <w:spacing w:line="254" w:lineRule="auto" w:after="40" w:before="40"/>
            </w:pPr>
            <w:r>
              <w:rPr>
                <w:b/>
                <w:color w:val="FFFFFF"/>
                <w:sz w:val="21"/>
              </w:rPr>
              <w:t>Capability</w:t>
            </w:r>
          </w:p>
        </w:tc>
        <w:tc>
          <w:tcPr>
            <w:tcW w:type="dxa" w:w="3859"/>
            <w:vAlign w:val="center"/>
            <w:shd w:fill="243B53"/>
            <w:tcMar>
              <w:top w:w="65" w:type="dxa"/>
              <w:bottom w:w="65" w:type="dxa"/>
              <w:left w:w="95" w:type="dxa"/>
              <w:right w:w="95" w:type="dxa"/>
            </w:tcMar>
          </w:tcPr>
          <w:p>
            <w:pPr>
              <w:spacing w:line="254" w:lineRule="auto" w:after="40" w:before="40"/>
            </w:pPr>
            <w:r>
              <w:rPr>
                <w:b/>
                <w:color w:val="FFFFFF"/>
                <w:sz w:val="21"/>
              </w:rPr>
              <w:t>Evidence at the pinned commit</w:t>
            </w:r>
          </w:p>
        </w:tc>
        <w:tc>
          <w:tcPr>
            <w:tcW w:type="dxa" w:w="4234"/>
            <w:vAlign w:val="center"/>
            <w:shd w:fill="243B53"/>
            <w:tcMar>
              <w:top w:w="65" w:type="dxa"/>
              <w:bottom w:w="65" w:type="dxa"/>
              <w:left w:w="95" w:type="dxa"/>
              <w:right w:w="95" w:type="dxa"/>
            </w:tcMar>
          </w:tcPr>
          <w:p>
            <w:pPr>
              <w:spacing w:line="254" w:lineRule="auto" w:after="40" w:before="40"/>
            </w:pPr>
            <w:r>
              <w:rPr>
                <w:b/>
                <w:color w:val="FFFFFF"/>
                <w:sz w:val="21"/>
              </w:rPr>
              <w:t>Required qualification or extension</w:t>
            </w:r>
          </w:p>
        </w:tc>
      </w:tr>
      <w:tr>
        <w:trPr>
          <w:cantSplit/>
        </w:trPr>
        <w:tc>
          <w:tcPr>
            <w:tcW w:type="dxa" w:w="1987"/>
            <w:vAlign w:val="center"/>
            <w:shd w:fill="F2F5F8"/>
            <w:tcMar>
              <w:top w:w="65" w:type="dxa"/>
              <w:bottom w:w="65" w:type="dxa"/>
              <w:left w:w="95" w:type="dxa"/>
              <w:right w:w="95" w:type="dxa"/>
            </w:tcMar>
          </w:tcPr>
          <w:p>
            <w:pPr>
              <w:spacing w:line="254" w:lineRule="auto" w:after="40" w:before="40"/>
            </w:pPr>
            <w:r>
              <w:rPr>
                <w:sz w:val="21"/>
              </w:rPr>
              <w:t>Disk recording</w:t>
            </w:r>
          </w:p>
        </w:tc>
        <w:tc>
          <w:tcPr>
            <w:tcW w:type="dxa" w:w="3859"/>
            <w:vAlign w:val="center"/>
            <w:shd w:fill="F2F5F8"/>
            <w:tcMar>
              <w:top w:w="65" w:type="dxa"/>
              <w:bottom w:w="65" w:type="dxa"/>
              <w:left w:w="95" w:type="dxa"/>
              <w:right w:w="95" w:type="dxa"/>
            </w:tcMar>
          </w:tcPr>
          <w:p>
            <w:pPr>
              <w:spacing w:line="254" w:lineRule="auto" w:after="40" w:before="40"/>
            </w:pPr>
            <w:r>
              <w:rPr>
                <w:sz w:val="21"/>
              </w:rPr>
              <w:t>Recorder streams takes into WAV files and rewrites headers periodically; PR 84 is included [S7, S13, S14]</w:t>
            </w:r>
          </w:p>
        </w:tc>
        <w:tc>
          <w:tcPr>
            <w:tcW w:type="dxa" w:w="4234"/>
            <w:vAlign w:val="center"/>
            <w:shd w:fill="F2F5F8"/>
            <w:tcMar>
              <w:top w:w="65" w:type="dxa"/>
              <w:bottom w:w="65" w:type="dxa"/>
              <w:left w:w="95" w:type="dxa"/>
              <w:right w:w="95" w:type="dxa"/>
            </w:tcMar>
          </w:tcPr>
          <w:p>
            <w:pPr>
              <w:spacing w:line="254" w:lineRule="auto" w:after="40" w:before="40"/>
            </w:pPr>
            <w:r>
              <w:rPr>
                <w:sz w:val="21"/>
              </w:rPr>
              <w:t>Test dropouts, writer errors, interrupted takes, recovery and alignment</w:t>
            </w:r>
          </w:p>
        </w:tc>
      </w:tr>
      <w:tr>
        <w:trPr>
          <w:cantSplit/>
        </w:trPr>
        <w:tc>
          <w:tcPr>
            <w:tcW w:type="dxa" w:w="1987"/>
            <w:vAlign w:val="center"/>
            <w:shd w:fill="FFFFFF"/>
            <w:tcMar>
              <w:top w:w="65" w:type="dxa"/>
              <w:bottom w:w="65" w:type="dxa"/>
              <w:left w:w="95" w:type="dxa"/>
              <w:right w:w="95" w:type="dxa"/>
            </w:tcMar>
          </w:tcPr>
          <w:p>
            <w:pPr>
              <w:spacing w:line="254" w:lineRule="auto" w:after="40" w:before="40"/>
            </w:pPr>
            <w:r>
              <w:rPr>
                <w:sz w:val="21"/>
              </w:rPr>
              <w:t>Input and output devices</w:t>
            </w:r>
          </w:p>
        </w:tc>
        <w:tc>
          <w:tcPr>
            <w:tcW w:type="dxa" w:w="3859"/>
            <w:vAlign w:val="center"/>
            <w:shd w:fill="FFFFFF"/>
            <w:tcMar>
              <w:top w:w="65" w:type="dxa"/>
              <w:bottom w:w="65" w:type="dxa"/>
              <w:left w:w="95" w:type="dxa"/>
              <w:right w:w="95" w:type="dxa"/>
            </w:tcMar>
          </w:tcPr>
          <w:p>
            <w:pPr>
              <w:spacing w:line="254" w:lineRule="auto" w:after="40" w:before="40"/>
            </w:pPr>
            <w:r>
              <w:rPr>
                <w:sz w:val="21"/>
              </w:rPr>
              <w:t>Playback and recording open the default devices [S7, S10]</w:t>
            </w:r>
          </w:p>
        </w:tc>
        <w:tc>
          <w:tcPr>
            <w:tcW w:type="dxa" w:w="4234"/>
            <w:vAlign w:val="center"/>
            <w:shd w:fill="FFFFFF"/>
            <w:tcMar>
              <w:top w:w="65" w:type="dxa"/>
              <w:bottom w:w="65" w:type="dxa"/>
              <w:left w:w="95" w:type="dxa"/>
              <w:right w:w="95" w:type="dxa"/>
            </w:tcMar>
          </w:tcPr>
          <w:p>
            <w:pPr>
              <w:spacing w:line="254" w:lineRule="auto" w:after="40" w:before="40"/>
            </w:pPr>
            <w:r>
              <w:rPr>
                <w:sz w:val="21"/>
              </w:rPr>
              <w:t>Explicit selection and supported interface configuration</w:t>
            </w:r>
          </w:p>
        </w:tc>
      </w:tr>
      <w:tr>
        <w:trPr>
          <w:cantSplit/>
        </w:trPr>
        <w:tc>
          <w:tcPr>
            <w:tcW w:type="dxa" w:w="1987"/>
            <w:vAlign w:val="center"/>
            <w:shd w:fill="F2F5F8"/>
            <w:tcMar>
              <w:top w:w="65" w:type="dxa"/>
              <w:bottom w:w="65" w:type="dxa"/>
              <w:left w:w="95" w:type="dxa"/>
              <w:right w:w="95" w:type="dxa"/>
            </w:tcMar>
          </w:tcPr>
          <w:p>
            <w:pPr>
              <w:spacing w:line="254" w:lineRule="auto" w:after="40" w:before="40"/>
            </w:pPr>
            <w:r>
              <w:rPr>
                <w:sz w:val="21"/>
              </w:rPr>
              <w:t>Processing block</w:t>
            </w:r>
          </w:p>
        </w:tc>
        <w:tc>
          <w:tcPr>
            <w:tcW w:type="dxa" w:w="3859"/>
            <w:vAlign w:val="center"/>
            <w:shd w:fill="F2F5F8"/>
            <w:tcMar>
              <w:top w:w="65" w:type="dxa"/>
              <w:bottom w:w="65" w:type="dxa"/>
              <w:left w:w="95" w:type="dxa"/>
              <w:right w:w="95" w:type="dxa"/>
            </w:tcMar>
          </w:tcPr>
          <w:p>
            <w:pPr>
              <w:spacing w:line="254" w:lineRule="auto" w:after="40" w:before="40"/>
            </w:pPr>
            <w:r>
              <w:rPr>
                <w:sz w:val="21"/>
              </w:rPr>
              <w:t>Maximum block is 512; render quantum can be smaller according to the device callback [S10]</w:t>
            </w:r>
          </w:p>
        </w:tc>
        <w:tc>
          <w:tcPr>
            <w:tcW w:type="dxa" w:w="4234"/>
            <w:vAlign w:val="center"/>
            <w:shd w:fill="F2F5F8"/>
            <w:tcMar>
              <w:top w:w="65" w:type="dxa"/>
              <w:bottom w:w="65" w:type="dxa"/>
              <w:left w:w="95" w:type="dxa"/>
              <w:right w:w="95" w:type="dxa"/>
            </w:tcMar>
          </w:tcPr>
          <w:p>
            <w:pPr>
              <w:spacing w:line="254" w:lineRule="auto" w:after="40" w:before="40"/>
            </w:pPr>
            <w:r>
              <w:rPr>
                <w:sz w:val="21"/>
              </w:rPr>
              <w:t>Measure actual latency and buffer behaviour; add supported controls</w:t>
            </w:r>
          </w:p>
        </w:tc>
      </w:tr>
      <w:tr>
        <w:trPr>
          <w:cantSplit/>
        </w:trPr>
        <w:tc>
          <w:tcPr>
            <w:tcW w:type="dxa" w:w="1987"/>
            <w:vAlign w:val="center"/>
            <w:shd w:fill="FFFFFF"/>
            <w:tcMar>
              <w:top w:w="65" w:type="dxa"/>
              <w:bottom w:w="65" w:type="dxa"/>
              <w:left w:w="95" w:type="dxa"/>
              <w:right w:w="95" w:type="dxa"/>
            </w:tcMar>
          </w:tcPr>
          <w:p>
            <w:pPr>
              <w:spacing w:line="254" w:lineRule="auto" w:after="40" w:before="40"/>
            </w:pPr>
            <w:r>
              <w:rPr>
                <w:sz w:val="21"/>
              </w:rPr>
              <w:t>Session revision</w:t>
            </w:r>
          </w:p>
        </w:tc>
        <w:tc>
          <w:tcPr>
            <w:tcW w:type="dxa" w:w="3859"/>
            <w:vAlign w:val="center"/>
            <w:shd w:fill="FFFFFF"/>
            <w:tcMar>
              <w:top w:w="65" w:type="dxa"/>
              <w:bottom w:w="65" w:type="dxa"/>
              <w:left w:w="95" w:type="dxa"/>
              <w:right w:w="95" w:type="dxa"/>
            </w:tcMar>
          </w:tcPr>
          <w:p>
            <w:pPr>
              <w:spacing w:line="254" w:lineRule="auto" w:after="40" w:before="40"/>
            </w:pPr>
            <w:r>
              <w:rPr>
                <w:sz w:val="21"/>
              </w:rPr>
              <w:t>Engine already has a revision counter; session inspection does not return it [S8, S9]</w:t>
            </w:r>
          </w:p>
        </w:tc>
        <w:tc>
          <w:tcPr>
            <w:tcW w:type="dxa" w:w="4234"/>
            <w:vAlign w:val="center"/>
            <w:shd w:fill="FFFFFF"/>
            <w:tcMar>
              <w:top w:w="65" w:type="dxa"/>
              <w:bottom w:w="65" w:type="dxa"/>
              <w:left w:w="95" w:type="dxa"/>
              <w:right w:w="95" w:type="dxa"/>
            </w:tcMar>
          </w:tcPr>
          <w:p>
            <w:pPr>
              <w:spacing w:line="254" w:lineRule="auto" w:after="40" w:before="40"/>
            </w:pPr>
            <w:r>
              <w:rPr>
                <w:sz w:val="21"/>
              </w:rPr>
              <w:t>Expose an appropriate revision and validate it at mutation time</w:t>
            </w:r>
          </w:p>
        </w:tc>
      </w:tr>
      <w:tr>
        <w:trPr>
          <w:cantSplit/>
        </w:trPr>
        <w:tc>
          <w:tcPr>
            <w:tcW w:type="dxa" w:w="1987"/>
            <w:vAlign w:val="center"/>
            <w:shd w:fill="F2F5F8"/>
            <w:tcMar>
              <w:top w:w="65" w:type="dxa"/>
              <w:bottom w:w="65" w:type="dxa"/>
              <w:left w:w="95" w:type="dxa"/>
              <w:right w:w="95" w:type="dxa"/>
            </w:tcMar>
          </w:tcPr>
          <w:p>
            <w:pPr>
              <w:spacing w:line="254" w:lineRule="auto" w:after="40" w:before="40"/>
            </w:pPr>
            <w:r>
              <w:rPr>
                <w:sz w:val="21"/>
              </w:rPr>
              <w:t>Undo and snapshots</w:t>
            </w:r>
          </w:p>
        </w:tc>
        <w:tc>
          <w:tcPr>
            <w:tcW w:type="dxa" w:w="3859"/>
            <w:vAlign w:val="center"/>
            <w:shd w:fill="F2F5F8"/>
            <w:tcMar>
              <w:top w:w="65" w:type="dxa"/>
              <w:bottom w:w="65" w:type="dxa"/>
              <w:left w:w="95" w:type="dxa"/>
              <w:right w:w="95" w:type="dxa"/>
            </w:tcMar>
          </w:tcPr>
          <w:p>
            <w:pPr>
              <w:spacing w:line="254" w:lineRule="auto" w:after="40" w:before="40"/>
            </w:pPr>
            <w:r>
              <w:rPr>
                <w:sz w:val="21"/>
              </w:rPr>
              <w:t>Copy-on-write session state, single-command rollback and gesture coalescing exist [S8]</w:t>
            </w:r>
          </w:p>
        </w:tc>
        <w:tc>
          <w:tcPr>
            <w:tcW w:type="dxa" w:w="4234"/>
            <w:vAlign w:val="center"/>
            <w:shd w:fill="F2F5F8"/>
            <w:tcMar>
              <w:top w:w="65" w:type="dxa"/>
              <w:bottom w:w="65" w:type="dxa"/>
              <w:left w:w="95" w:type="dxa"/>
              <w:right w:w="95" w:type="dxa"/>
            </w:tcMar>
          </w:tcPr>
          <w:p>
            <w:pPr>
              <w:spacing w:line="254" w:lineRule="auto" w:after="40" w:before="40"/>
            </w:pPr>
            <w:r>
              <w:rPr>
                <w:sz w:val="21"/>
              </w:rPr>
              <w:t>Prove isolated staging and one grouped publication for admitted operations</w:t>
            </w:r>
          </w:p>
        </w:tc>
      </w:tr>
      <w:tr>
        <w:trPr>
          <w:cantSplit/>
        </w:trPr>
        <w:tc>
          <w:tcPr>
            <w:tcW w:type="dxa" w:w="1987"/>
            <w:vAlign w:val="center"/>
            <w:shd w:fill="FFFFFF"/>
            <w:tcMar>
              <w:top w:w="65" w:type="dxa"/>
              <w:bottom w:w="65" w:type="dxa"/>
              <w:left w:w="95" w:type="dxa"/>
              <w:right w:w="95" w:type="dxa"/>
            </w:tcMar>
          </w:tcPr>
          <w:p>
            <w:pPr>
              <w:spacing w:line="254" w:lineRule="auto" w:after="40" w:before="40"/>
            </w:pPr>
            <w:r>
              <w:rPr>
                <w:sz w:val="21"/>
              </w:rPr>
              <w:t>Batch commands</w:t>
            </w:r>
          </w:p>
        </w:tc>
        <w:tc>
          <w:tcPr>
            <w:tcW w:type="dxa" w:w="3859"/>
            <w:vAlign w:val="center"/>
            <w:shd w:fill="FFFFFF"/>
            <w:tcMar>
              <w:top w:w="65" w:type="dxa"/>
              <w:bottom w:w="65" w:type="dxa"/>
              <w:left w:w="95" w:type="dxa"/>
              <w:right w:w="95" w:type="dxa"/>
            </w:tcMar>
          </w:tcPr>
          <w:p>
            <w:pPr>
              <w:spacing w:line="254" w:lineRule="auto" w:after="40" w:before="40"/>
            </w:pPr>
            <w:r>
              <w:rPr>
                <w:sz w:val="21"/>
              </w:rPr>
              <w:t>MCP runs commands sequentially; desktop protocol has no equivalent transaction contract [S2, S3]</w:t>
            </w:r>
          </w:p>
        </w:tc>
        <w:tc>
          <w:tcPr>
            <w:tcW w:type="dxa" w:w="4234"/>
            <w:vAlign w:val="center"/>
            <w:shd w:fill="FFFFFF"/>
            <w:tcMar>
              <w:top w:w="65" w:type="dxa"/>
              <w:bottom w:w="65" w:type="dxa"/>
              <w:left w:w="95" w:type="dxa"/>
              <w:right w:w="95" w:type="dxa"/>
            </w:tcMar>
          </w:tcPr>
          <w:p>
            <w:pPr>
              <w:spacing w:line="254" w:lineRule="auto" w:after="40" w:before="40"/>
            </w:pPr>
            <w:r>
              <w:rPr>
                <w:sz w:val="21"/>
              </w:rPr>
              <w:t>Do not treat batching or coalescing as atomic commit</w:t>
            </w:r>
          </w:p>
        </w:tc>
      </w:tr>
      <w:tr>
        <w:trPr>
          <w:cantSplit/>
        </w:trPr>
        <w:tc>
          <w:tcPr>
            <w:tcW w:type="dxa" w:w="1987"/>
            <w:vAlign w:val="center"/>
            <w:shd w:fill="F2F5F8"/>
            <w:tcMar>
              <w:top w:w="65" w:type="dxa"/>
              <w:bottom w:w="65" w:type="dxa"/>
              <w:left w:w="95" w:type="dxa"/>
              <w:right w:w="95" w:type="dxa"/>
            </w:tcMar>
          </w:tcPr>
          <w:p>
            <w:pPr>
              <w:spacing w:line="254" w:lineRule="auto" w:after="40" w:before="40"/>
            </w:pPr>
            <w:r>
              <w:rPr>
                <w:sz w:val="21"/>
              </w:rPr>
              <w:t>Local control</w:t>
            </w:r>
          </w:p>
        </w:tc>
        <w:tc>
          <w:tcPr>
            <w:tcW w:type="dxa" w:w="3859"/>
            <w:vAlign w:val="center"/>
            <w:shd w:fill="F2F5F8"/>
            <w:tcMar>
              <w:top w:w="65" w:type="dxa"/>
              <w:bottom w:w="65" w:type="dxa"/>
              <w:left w:w="95" w:type="dxa"/>
              <w:right w:w="95" w:type="dxa"/>
            </w:tcMar>
          </w:tcPr>
          <w:p>
            <w:pPr>
              <w:spacing w:line="254" w:lineRule="auto" w:after="40" w:before="40"/>
            </w:pPr>
            <w:r>
              <w:rPr>
                <w:sz w:val="21"/>
              </w:rPr>
              <w:t>Loopback TCP server dispatches requests without an authentication check [S16]</w:t>
            </w:r>
          </w:p>
        </w:tc>
        <w:tc>
          <w:tcPr>
            <w:tcW w:type="dxa" w:w="4234"/>
            <w:vAlign w:val="center"/>
            <w:shd w:fill="F2F5F8"/>
            <w:tcMar>
              <w:top w:w="65" w:type="dxa"/>
              <w:bottom w:w="65" w:type="dxa"/>
              <w:left w:w="95" w:type="dxa"/>
              <w:right w:w="95" w:type="dxa"/>
            </w:tcMar>
          </w:tcPr>
          <w:p>
            <w:pPr>
              <w:spacing w:line="254" w:lineRule="auto" w:after="40" w:before="40"/>
            </w:pPr>
            <w:r>
              <w:rPr>
                <w:sz w:val="21"/>
              </w:rPr>
              <w:t>Protect the endpoint and admit only the qualified operation set</w:t>
            </w:r>
          </w:p>
        </w:tc>
      </w:tr>
      <w:tr>
        <w:trPr>
          <w:cantSplit/>
        </w:trPr>
        <w:tc>
          <w:tcPr>
            <w:tcW w:type="dxa" w:w="1987"/>
            <w:vAlign w:val="center"/>
            <w:shd w:fill="FFFFFF"/>
            <w:tcMar>
              <w:top w:w="65" w:type="dxa"/>
              <w:bottom w:w="65" w:type="dxa"/>
              <w:left w:w="95" w:type="dxa"/>
              <w:right w:w="95" w:type="dxa"/>
            </w:tcMar>
          </w:tcPr>
          <w:p>
            <w:pPr>
              <w:spacing w:line="254" w:lineRule="auto" w:after="40" w:before="40"/>
            </w:pPr>
            <w:r>
              <w:rPr>
                <w:sz w:val="21"/>
              </w:rPr>
              <w:t>Audio to MIDI</w:t>
            </w:r>
          </w:p>
        </w:tc>
        <w:tc>
          <w:tcPr>
            <w:tcW w:type="dxa" w:w="3859"/>
            <w:vAlign w:val="center"/>
            <w:shd w:fill="FFFFFF"/>
            <w:tcMar>
              <w:top w:w="65" w:type="dxa"/>
              <w:bottom w:w="65" w:type="dxa"/>
              <w:left w:w="95" w:type="dxa"/>
              <w:right w:w="95" w:type="dxa"/>
            </w:tcMar>
          </w:tcPr>
          <w:p>
            <w:pPr>
              <w:spacing w:line="254" w:lineRule="auto" w:after="40" w:before="40"/>
            </w:pPr>
            <w:r>
              <w:rPr>
                <w:sz w:val="21"/>
              </w:rPr>
              <w:t>YIN pitch estimates are rounded into MIDI notes and segmented [S11]</w:t>
            </w:r>
          </w:p>
        </w:tc>
        <w:tc>
          <w:tcPr>
            <w:tcW w:type="dxa" w:w="4234"/>
            <w:vAlign w:val="center"/>
            <w:shd w:fill="FFFFFF"/>
            <w:tcMar>
              <w:top w:w="65" w:type="dxa"/>
              <w:bottom w:w="65" w:type="dxa"/>
              <w:left w:w="95" w:type="dxa"/>
              <w:right w:w="95" w:type="dxa"/>
            </w:tcMar>
          </w:tcPr>
          <w:p>
            <w:pPr>
              <w:spacing w:line="254" w:lineRule="auto" w:after="40" w:before="40"/>
            </w:pPr>
            <w:r>
              <w:rPr>
                <w:sz w:val="21"/>
              </w:rPr>
              <w:t>Evaluate separately before accepting generated guides as references</w:t>
            </w:r>
          </w:p>
        </w:tc>
      </w:tr>
      <w:tr>
        <w:trPr>
          <w:cantSplit/>
        </w:trPr>
        <w:tc>
          <w:tcPr>
            <w:tcW w:type="dxa" w:w="1987"/>
            <w:vAlign w:val="center"/>
            <w:shd w:fill="F2F5F8"/>
            <w:tcMar>
              <w:top w:w="65" w:type="dxa"/>
              <w:bottom w:w="65" w:type="dxa"/>
              <w:left w:w="95" w:type="dxa"/>
              <w:right w:w="95" w:type="dxa"/>
            </w:tcMar>
          </w:tcPr>
          <w:p>
            <w:pPr>
              <w:spacing w:line="254" w:lineRule="auto" w:after="40" w:before="40"/>
            </w:pPr>
            <w:r>
              <w:rPr>
                <w:sz w:val="21"/>
              </w:rPr>
              <w:t>Backing import</w:t>
            </w:r>
          </w:p>
        </w:tc>
        <w:tc>
          <w:tcPr>
            <w:tcW w:type="dxa" w:w="3859"/>
            <w:vAlign w:val="center"/>
            <w:shd w:fill="F2F5F8"/>
            <w:tcMar>
              <w:top w:w="65" w:type="dxa"/>
              <w:bottom w:w="65" w:type="dxa"/>
              <w:left w:w="95" w:type="dxa"/>
              <w:right w:w="95" w:type="dxa"/>
            </w:tcMar>
          </w:tcPr>
          <w:p>
            <w:pPr>
              <w:spacing w:line="254" w:lineRule="auto" w:after="40" w:before="40"/>
            </w:pPr>
            <w:r>
              <w:rPr>
                <w:sz w:val="21"/>
              </w:rPr>
              <w:t>MCP documents MP3 and AAC/M4A as import formats [S2]</w:t>
            </w:r>
          </w:p>
        </w:tc>
        <w:tc>
          <w:tcPr>
            <w:tcW w:type="dxa" w:w="4234"/>
            <w:vAlign w:val="center"/>
            <w:shd w:fill="F2F5F8"/>
            <w:tcMar>
              <w:top w:w="65" w:type="dxa"/>
              <w:bottom w:w="65" w:type="dxa"/>
              <w:left w:w="95" w:type="dxa"/>
              <w:right w:w="95" w:type="dxa"/>
            </w:tcMar>
          </w:tcPr>
          <w:p>
            <w:pPr>
              <w:spacing w:line="254" w:lineRule="auto" w:after="40" w:before="40"/>
            </w:pPr>
            <w:r>
              <w:rPr>
                <w:sz w:val="21"/>
              </w:rPr>
              <w:t>Qualify decoding, channel mapping, delay handling and project persistence</w:t>
            </w:r>
          </w:p>
        </w:tc>
      </w:tr>
      <w:tr>
        <w:trPr>
          <w:cantSplit/>
        </w:trPr>
        <w:tc>
          <w:tcPr>
            <w:tcW w:type="dxa" w:w="1987"/>
            <w:vAlign w:val="center"/>
            <w:shd w:fill="FFFFFF"/>
            <w:tcMar>
              <w:top w:w="65" w:type="dxa"/>
              <w:bottom w:w="65" w:type="dxa"/>
              <w:left w:w="95" w:type="dxa"/>
              <w:right w:w="95" w:type="dxa"/>
            </w:tcMar>
          </w:tcPr>
          <w:p>
            <w:pPr>
              <w:spacing w:line="254" w:lineRule="auto" w:after="40" w:before="40"/>
            </w:pPr>
            <w:r>
              <w:rPr>
                <w:sz w:val="21"/>
              </w:rPr>
              <w:t>Built-in processors</w:t>
            </w:r>
          </w:p>
        </w:tc>
        <w:tc>
          <w:tcPr>
            <w:tcW w:type="dxa" w:w="3859"/>
            <w:vAlign w:val="center"/>
            <w:shd w:fill="FFFFFF"/>
            <w:tcMar>
              <w:top w:w="65" w:type="dxa"/>
              <w:bottom w:w="65" w:type="dxa"/>
              <w:left w:w="95" w:type="dxa"/>
              <w:right w:w="95" w:type="dxa"/>
            </w:tcMar>
          </w:tcPr>
          <w:p>
            <w:pPr>
              <w:spacing w:line="254" w:lineRule="auto" w:after="40" w:before="40"/>
            </w:pPr>
            <w:r>
              <w:rPr>
                <w:sz w:val="21"/>
              </w:rPr>
              <w:t>EQ and compression are listed; comparative fidelity is unmeasured [S5]</w:t>
            </w:r>
          </w:p>
        </w:tc>
        <w:tc>
          <w:tcPr>
            <w:tcW w:type="dxa" w:w="4234"/>
            <w:vAlign w:val="center"/>
            <w:shd w:fill="FFFFFF"/>
            <w:tcMar>
              <w:top w:w="65" w:type="dxa"/>
              <w:bottom w:w="65" w:type="dxa"/>
              <w:left w:w="95" w:type="dxa"/>
              <w:right w:w="95" w:type="dxa"/>
            </w:tcMar>
          </w:tcPr>
          <w:p>
            <w:pPr>
              <w:spacing w:line="254" w:lineRule="auto" w:after="40" w:before="40"/>
            </w:pPr>
            <w:r>
              <w:rPr>
                <w:sz w:val="21"/>
              </w:rPr>
              <w:t>Test declared DSP behaviour, parameter mapping, state and rendering</w:t>
            </w:r>
          </w:p>
        </w:tc>
      </w:tr>
    </w:tbl>
    <w:p>
      <w:pPr>
        <w:spacing w:after="40" w:before="0" w:line="240" w:lineRule="auto"/>
      </w:pPr>
      <w:r>
        <w:rPr>
          <w:sz w:val="4"/>
        </w:rPr>
      </w:r>
    </w:p>
    <w:p>
      <w:r>
        <w:t>The hardware audit dated 10 October reports recording into RAM and a fixed 512-sample block. Its recording statement is superseded by the inspected disk writer; its block description omits the smaller callback-dependent quantum. PR 84 merged on 12 October and the ancestry comparison places it before the pinned build. Version 0.2's RAM-only baseline is corrected here. [S4, S7, S10, S13, S14]</w:t>
      </w:r>
    </w:p>
    <w:p>
      <w:r>
        <w:t>The existing revision counter and gesture history reduce likely implementation work, but their semantics must be examined before reuse. External revision enforcement, recovery across restart and atomic multi-operation publication are still qualification or extension work. Third-party AI plugin control and pitch correction remain outside this release.</w:t>
      </w:r>
    </w:p>
    <w:p>
      <w:pPr>
        <w:pStyle w:val="Heading2"/>
      </w:pPr>
      <w:r>
        <w:t>3.3 Foundation decision</w:t>
      </w:r>
    </w:p>
    <w:p>
      <w:r>
        <w:t>Phase 0 produces separate product-value and technical decisions: go, repair or stop. It must distinguish what can be demonstrated with imported audio from what is safe for session editing and reliable recording.</w:t>
      </w:r>
    </w:p>
    <w:p>
      <w:r>
        <w:t>If recording qualification fails, work may continue as an explicitly labelled imported-audio prototype. A recording failure does not become a passed release gate through hardware direct monitoring: recording integrity, timeline alignment and recovery remain mandatory. If source preservation, valid rendering, saving or safe publication cannot be established within a bounded repair plan, stop broader development and reassess the foundation.</w:t>
      </w:r>
    </w:p>
    <w:p>
      <w:pPr>
        <w:pStyle w:val="Heading1"/>
      </w:pPr>
      <w:r>
        <w:t>4 Release scope and support envelope</w:t>
      </w:r>
    </w:p>
    <w:p>
      <w:pPr>
        <w:pStyle w:val="Heading2"/>
      </w:pPr>
      <w:r>
        <w:t>4.1 Delivery milestones</w:t>
      </w:r>
    </w:p>
    <w:p>
      <w:r>
        <w:rPr>
          <w:b/>
        </w:rPr>
        <w:t>Discovery experiment:</w:t>
      </w:r>
      <w:r>
        <w:t xml:space="preserve"> use copies of real vocal recordings to produce pitch feedback and separate processed previews. A developer may assist or prepare outputs manually, with that assistance recorded. No automated changes are made to a participant's working session. This milestone tests usefulness through G00.</w:t>
      </w:r>
    </w:p>
    <w:p>
      <w:r>
        <w:rPr>
          <w:b/>
        </w:rPr>
        <w:t>Integrated imported-audio prototype:</w:t>
      </w:r>
      <w:r>
        <w:t xml:space="preserve"> import a vocal and backing, inspect, propose, audition, approve, commit, undo, save and reopen. Session mutations use section 7 from their first implementation. Qualification is limited to the operations actually admitted at that milestone.</w:t>
      </w:r>
    </w:p>
    <w:p>
      <w:r>
        <w:rPr>
          <w:b/>
        </w:rPr>
        <w:t>Early-access release:</w:t>
      </w:r>
      <w:r>
        <w:t xml:space="preserve"> complete the integrated workflow, qualified recording with the declared monitoring mode, the pitch and processing gates, packaging, privacy and recovery. A public release requires the definition of done in section 16. An import-only public release would require an explicit scope amendment.</w:t>
      </w:r>
    </w:p>
    <w:p>
      <w:pPr>
        <w:pStyle w:val="Heading2"/>
      </w:pPr>
      <w:r>
        <w:t>4.2 Proposed qualified envelope</w:t>
      </w:r>
    </w:p>
    <w:p>
      <w:r>
        <w:t>These limits define what is tested and advertised; they do not remove inherited manual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7949"/>
      </w:tblGrid>
      <w:tr>
        <w:trPr>
          <w:cantSplit/>
          <w:tblHeader/>
        </w:trPr>
        <w:tc>
          <w:tcPr>
            <w:tcW w:type="dxa" w:w="2131"/>
            <w:vAlign w:val="center"/>
            <w:shd w:fill="243B53"/>
            <w:tcMar>
              <w:top w:w="65" w:type="dxa"/>
              <w:bottom w:w="65" w:type="dxa"/>
              <w:left w:w="95" w:type="dxa"/>
              <w:right w:w="95" w:type="dxa"/>
            </w:tcMar>
          </w:tcPr>
          <w:p>
            <w:pPr>
              <w:spacing w:line="254" w:lineRule="auto" w:after="40" w:before="40"/>
            </w:pPr>
            <w:r>
              <w:rPr>
                <w:b/>
                <w:color w:val="FFFFFF"/>
                <w:sz w:val="21"/>
              </w:rPr>
              <w:t>Dimension</w:t>
            </w:r>
          </w:p>
        </w:tc>
        <w:tc>
          <w:tcPr>
            <w:tcW w:type="dxa" w:w="7949"/>
            <w:vAlign w:val="center"/>
            <w:shd w:fill="243B53"/>
            <w:tcMar>
              <w:top w:w="65" w:type="dxa"/>
              <w:bottom w:w="65" w:type="dxa"/>
              <w:left w:w="95" w:type="dxa"/>
              <w:right w:w="95" w:type="dxa"/>
            </w:tcMar>
          </w:tcPr>
          <w:p>
            <w:pPr>
              <w:spacing w:line="254" w:lineRule="auto" w:after="40" w:before="40"/>
            </w:pPr>
            <w:r>
              <w:rPr>
                <w:b/>
                <w:color w:val="FFFFFF"/>
                <w:sz w:val="21"/>
              </w:rPr>
              <w:t>Early-access requirement</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Platform</w:t>
            </w:r>
          </w:p>
        </w:tc>
        <w:tc>
          <w:tcPr>
            <w:tcW w:type="dxa" w:w="7949"/>
            <w:vAlign w:val="center"/>
            <w:shd w:fill="F2F5F8"/>
            <w:tcMar>
              <w:top w:w="65" w:type="dxa"/>
              <w:bottom w:w="65" w:type="dxa"/>
              <w:left w:w="95" w:type="dxa"/>
              <w:right w:w="95" w:type="dxa"/>
            </w:tcMar>
          </w:tcPr>
          <w:p>
            <w:pPr>
              <w:spacing w:line="254" w:lineRule="auto" w:after="40" w:before="40"/>
            </w:pPr>
            <w:r>
              <w:rPr>
                <w:sz w:val="21"/>
              </w:rPr>
              <w:t>macOS on Apple Silicon</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Reference machine</w:t>
            </w:r>
          </w:p>
        </w:tc>
        <w:tc>
          <w:tcPr>
            <w:tcW w:type="dxa" w:w="7949"/>
            <w:vAlign w:val="center"/>
            <w:shd w:fill="FFFFFF"/>
            <w:tcMar>
              <w:top w:w="65" w:type="dxa"/>
              <w:bottom w:w="65" w:type="dxa"/>
              <w:left w:w="95" w:type="dxa"/>
              <w:right w:w="95" w:type="dxa"/>
            </w:tcMar>
          </w:tcPr>
          <w:p>
            <w:pPr>
              <w:spacing w:line="254" w:lineRule="auto" w:after="40" w:before="40"/>
            </w:pPr>
            <w:r>
              <w:rPr>
                <w:sz w:val="21"/>
              </w:rPr>
              <w:t>Apple M1, 16 GB RAM and SSD; exact OS build and available disk recorded in Phase 0</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Compatibility</w:t>
            </w:r>
          </w:p>
        </w:tc>
        <w:tc>
          <w:tcPr>
            <w:tcW w:type="dxa" w:w="7949"/>
            <w:vAlign w:val="center"/>
            <w:shd w:fill="F2F5F8"/>
            <w:tcMar>
              <w:top w:w="65" w:type="dxa"/>
              <w:bottom w:w="65" w:type="dxa"/>
              <w:left w:w="95" w:type="dxa"/>
              <w:right w:w="95" w:type="dxa"/>
            </w:tcMar>
          </w:tcPr>
          <w:p>
            <w:pPr>
              <w:spacing w:line="254" w:lineRule="auto" w:after="40" w:before="40"/>
            </w:pPr>
            <w:r>
              <w:rPr>
                <w:sz w:val="21"/>
              </w:rPr>
              <w:t>Explicit tested macOS and interface list</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Session workload</w:t>
            </w:r>
          </w:p>
        </w:tc>
        <w:tc>
          <w:tcPr>
            <w:tcW w:type="dxa" w:w="7949"/>
            <w:vAlign w:val="center"/>
            <w:shd w:fill="FFFFFF"/>
            <w:tcMar>
              <w:top w:w="65" w:type="dxa"/>
              <w:bottom w:w="65" w:type="dxa"/>
              <w:left w:w="95" w:type="dxa"/>
              <w:right w:w="95" w:type="dxa"/>
            </w:tcMar>
          </w:tcPr>
          <w:p>
            <w:pPr>
              <w:spacing w:line="254" w:lineRule="auto" w:after="40" w:before="40"/>
            </w:pPr>
            <w:r>
              <w:rPr>
                <w:sz w:val="21"/>
              </w:rPr>
              <w:t>Up to 8 audio tracks, including one mono lead; up to 10 minutes of programme audio</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Sample rates</w:t>
            </w:r>
          </w:p>
        </w:tc>
        <w:tc>
          <w:tcPr>
            <w:tcW w:type="dxa" w:w="7949"/>
            <w:vAlign w:val="center"/>
            <w:shd w:fill="F2F5F8"/>
            <w:tcMar>
              <w:top w:w="65" w:type="dxa"/>
              <w:bottom w:w="65" w:type="dxa"/>
              <w:left w:w="95" w:type="dxa"/>
              <w:right w:w="95" w:type="dxa"/>
            </w:tcMar>
          </w:tcPr>
          <w:p>
            <w:pPr>
              <w:spacing w:line="254" w:lineRule="auto" w:after="40" w:before="40"/>
            </w:pPr>
            <w:r>
              <w:rPr>
                <w:sz w:val="21"/>
              </w:rPr>
              <w:t>44.1 kHz and 48 kHz</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Lead vocal input</w:t>
            </w:r>
          </w:p>
        </w:tc>
        <w:tc>
          <w:tcPr>
            <w:tcW w:type="dxa" w:w="7949"/>
            <w:vAlign w:val="center"/>
            <w:shd w:fill="FFFFFF"/>
            <w:tcMar>
              <w:top w:w="65" w:type="dxa"/>
              <w:bottom w:w="65" w:type="dxa"/>
              <w:left w:w="95" w:type="dxa"/>
              <w:right w:w="95" w:type="dxa"/>
            </w:tcMar>
          </w:tcPr>
          <w:p>
            <w:pPr>
              <w:spacing w:line="254" w:lineRule="auto" w:after="40" w:before="40"/>
            </w:pPr>
            <w:r>
              <w:rPr>
                <w:sz w:val="21"/>
              </w:rPr>
              <w:t>WAV PCM 16 or 24 bit, or WAV 32-bit float</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Backing input</w:t>
            </w:r>
          </w:p>
        </w:tc>
        <w:tc>
          <w:tcPr>
            <w:tcW w:type="dxa" w:w="7949"/>
            <w:vAlign w:val="center"/>
            <w:shd w:fill="F2F5F8"/>
            <w:tcMar>
              <w:top w:w="65" w:type="dxa"/>
              <w:bottom w:w="65" w:type="dxa"/>
              <w:left w:w="95" w:type="dxa"/>
              <w:right w:w="95" w:type="dxa"/>
            </w:tcMar>
          </w:tcPr>
          <w:p>
            <w:pPr>
              <w:spacing w:line="254" w:lineRule="auto" w:after="40" w:before="40"/>
            </w:pPr>
            <w:r>
              <w:rPr>
                <w:sz w:val="21"/>
              </w:rPr>
              <w:t>Qualified WAV, MP3 and AAC-LC in supported AAC/M4A containers; exact profiles recorded in the import matrix</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Export</w:t>
            </w:r>
          </w:p>
        </w:tc>
        <w:tc>
          <w:tcPr>
            <w:tcW w:type="dxa" w:w="7949"/>
            <w:vAlign w:val="center"/>
            <w:shd w:fill="FFFFFF"/>
            <w:tcMar>
              <w:top w:w="65" w:type="dxa"/>
              <w:bottom w:w="65" w:type="dxa"/>
              <w:left w:w="95" w:type="dxa"/>
              <w:right w:w="95" w:type="dxa"/>
            </w:tcMar>
          </w:tcPr>
          <w:p>
            <w:pPr>
              <w:spacing w:line="254" w:lineRule="auto" w:after="40" w:before="40"/>
            </w:pPr>
            <w:r>
              <w:rPr>
                <w:sz w:val="21"/>
              </w:rPr>
              <w:t>WAV PCM 16 or 24 bit, or WAV 32-bit float; other inherited exports unqualified</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Recording monitor</w:t>
            </w:r>
          </w:p>
        </w:tc>
        <w:tc>
          <w:tcPr>
            <w:tcW w:type="dxa" w:w="7949"/>
            <w:vAlign w:val="center"/>
            <w:shd w:fill="F2F5F8"/>
            <w:tcMar>
              <w:top w:w="65" w:type="dxa"/>
              <w:bottom w:w="65" w:type="dxa"/>
              <w:left w:w="95" w:type="dxa"/>
              <w:right w:w="95" w:type="dxa"/>
            </w:tcMar>
          </w:tcPr>
          <w:p>
            <w:pPr>
              <w:spacing w:line="254" w:lineRule="auto" w:after="40" w:before="40"/>
            </w:pPr>
            <w:r>
              <w:rPr>
                <w:sz w:val="21"/>
              </w:rPr>
              <w:t>Hardware direct monitoring on a named qualified interface; no promise of hearing app effects live</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Pitch analysis</w:t>
            </w:r>
          </w:p>
        </w:tc>
        <w:tc>
          <w:tcPr>
            <w:tcW w:type="dxa" w:w="7949"/>
            <w:vAlign w:val="center"/>
            <w:shd w:fill="FFFFFF"/>
            <w:tcMar>
              <w:top w:w="65" w:type="dxa"/>
              <w:bottom w:w="65" w:type="dxa"/>
              <w:left w:w="95" w:type="dxa"/>
              <w:right w:w="95" w:type="dxa"/>
            </w:tcMar>
          </w:tcPr>
          <w:p>
            <w:pPr>
              <w:spacing w:line="254" w:lineRule="auto" w:after="40" w:before="40"/>
            </w:pPr>
            <w:r>
              <w:rPr>
                <w:sz w:val="21"/>
              </w:rPr>
              <w:t>Offline dry mono selection of up to 5 minutes per job; proposed F0 range 65 to 1100 Hz</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Musical context</w:t>
            </w:r>
          </w:p>
        </w:tc>
        <w:tc>
          <w:tcPr>
            <w:tcW w:type="dxa" w:w="7949"/>
            <w:vAlign w:val="center"/>
            <w:shd w:fill="F2F5F8"/>
            <w:tcMar>
              <w:top w:w="65" w:type="dxa"/>
              <w:bottom w:w="65" w:type="dxa"/>
              <w:left w:w="95" w:type="dxa"/>
              <w:right w:w="95" w:type="dxa"/>
            </w:tcMar>
          </w:tcPr>
          <w:p>
            <w:pPr>
              <w:spacing w:line="254" w:lineRule="auto" w:after="40" w:before="40"/>
            </w:pPr>
            <w:r>
              <w:rPr>
                <w:sz w:val="21"/>
              </w:rPr>
              <w:t>User-confirmed Sa and octave; optional scale; selected-note target; advanced timed monophonic MIDI</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Processing</w:t>
            </w:r>
          </w:p>
        </w:tc>
        <w:tc>
          <w:tcPr>
            <w:tcW w:type="dxa" w:w="7949"/>
            <w:vAlign w:val="center"/>
            <w:shd w:fill="FFFFFF"/>
            <w:tcMar>
              <w:top w:w="65" w:type="dxa"/>
              <w:bottom w:w="65" w:type="dxa"/>
              <w:left w:w="95" w:type="dxa"/>
              <w:right w:w="95" w:type="dxa"/>
            </w:tcMar>
          </w:tcPr>
          <w:p>
            <w:pPr>
              <w:spacing w:line="254" w:lineRule="auto" w:after="40" w:before="40"/>
            </w:pPr>
            <w:r>
              <w:rPr>
                <w:sz w:val="21"/>
              </w:rPr>
              <w:t>Qualified built-in gain, EQ and compressor operations chosen by versioned local rules</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AI interface</w:t>
            </w:r>
          </w:p>
        </w:tc>
        <w:tc>
          <w:tcPr>
            <w:tcW w:type="dxa" w:w="7949"/>
            <w:vAlign w:val="center"/>
            <w:shd w:fill="F2F5F8"/>
            <w:tcMar>
              <w:top w:w="65" w:type="dxa"/>
              <w:bottom w:w="65" w:type="dxa"/>
              <w:left w:w="95" w:type="dxa"/>
              <w:right w:w="95" w:type="dxa"/>
            </w:tcMar>
          </w:tcPr>
          <w:p>
            <w:pPr>
              <w:spacing w:line="254" w:lineRule="auto" w:after="40" w:before="40"/>
            </w:pPr>
            <w:r>
              <w:rPr>
                <w:sz w:val="21"/>
              </w:rPr>
              <w:t>English instructions initially; pitch analysis does not require lyric transcription</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Inference</w:t>
            </w:r>
          </w:p>
        </w:tc>
        <w:tc>
          <w:tcPr>
            <w:tcW w:type="dxa" w:w="7949"/>
            <w:vAlign w:val="center"/>
            <w:shd w:fill="FFFFFF"/>
            <w:tcMar>
              <w:top w:w="65" w:type="dxa"/>
              <w:bottom w:w="65" w:type="dxa"/>
              <w:left w:w="95" w:type="dxa"/>
              <w:right w:w="95" w:type="dxa"/>
            </w:tcMar>
          </w:tcPr>
          <w:p>
            <w:pPr>
              <w:spacing w:line="254" w:lineRule="auto" w:after="40" w:before="40"/>
            </w:pPr>
            <w:r>
              <w:rPr>
                <w:sz w:val="21"/>
              </w:rPr>
              <w:t>Local analysis and proposal rules; one opt-in cloud text-model adapter</w:t>
            </w:r>
          </w:p>
        </w:tc>
      </w:tr>
    </w:tbl>
    <w:p>
      <w:pPr>
        <w:spacing w:after="40" w:before="0" w:line="240" w:lineRule="auto"/>
      </w:pPr>
      <w:r>
        <w:rPr>
          <w:sz w:val="4"/>
        </w:rPr>
      </w:r>
    </w:p>
    <w:p>
      <w:r>
        <w:t>Decode compressed backing once into project-managed PCM for analysis and rendering, while retaining its source identity and timeline mapping. Qualify encoder delay and padding handling, variable bitrate, stereo mapping, corrupt files and save/reopen behaviour. Do not silently route compressed lead vocals through the qualified WAV analysis path.</w:t>
      </w:r>
    </w:p>
    <w:p>
      <w:pPr>
        <w:pStyle w:val="Heading2"/>
      </w:pPr>
      <w:r>
        <w:t>4.3 Deferred capabilities</w:t>
      </w:r>
    </w:p>
    <w:p>
      <w:r>
        <w:t>Pitch correction, take comping, broad mixing, arrangement, mastering, raga correctness judgement and automatic alignment to another singer remain later work. Audio-derived reference creation may be explored during discovery but is not a required early-access feature. Custom tuning offsets are an advanced setting, outside the default flow.</w:t>
      </w:r>
    </w:p>
    <w:p>
      <w:r>
        <w:t>Intel Macs, Windows, Linux, real-time pitch coaching, third-party AI plugin control, polyphonic extraction, AI routing and general timeline edits are outside this qualification envelope. Full song generation, voice cloning, replacement singers, cloud collaboration, mobile support and DAW project compatibility layers remain out of scope.</w:t>
      </w:r>
    </w:p>
    <w:p>
      <w:pPr>
        <w:pStyle w:val="Heading1"/>
      </w:pPr>
      <w:r>
        <w:t>5 User workflow and interface</w:t>
      </w:r>
    </w:p>
    <w:p>
      <w:pPr>
        <w:pStyle w:val="Heading2"/>
      </w:pPr>
      <w:r>
        <w:t>5.1 Primary workflow</w:t>
      </w:r>
    </w:p>
    <w:p>
      <w:pPr>
        <w:pStyle w:val="ListNumber"/>
      </w:pPr>
      <w:r>
        <w:t>Create or open a session and record or import a lead vocal with backing audio.</w:t>
      </w:r>
    </w:p>
    <w:p>
      <w:pPr>
        <w:pStyle w:val="ListNumber"/>
      </w:pPr>
      <w:r>
        <w:t>Select the lead vocal and a range. Confirm the role when track identity is ambiguous.</w:t>
      </w:r>
    </w:p>
    <w:p>
      <w:pPr>
        <w:pStyle w:val="ListNumber"/>
      </w:pPr>
      <w:r>
        <w:t>Run Vocal Check to inspect source availability, possible clipping, levels and pitch.</w:t>
      </w:r>
    </w:p>
    <w:p>
      <w:pPr>
        <w:pStyle w:val="ListNumber"/>
      </w:pPr>
      <w:r>
        <w:t>Set Sa and its octave. Inspect pitch directly, choose a sustained target note, or optionally open a timed MIDI reference.</w:t>
      </w:r>
    </w:p>
    <w:p>
      <w:pPr>
        <w:pStyle w:val="ListNumber"/>
      </w:pPr>
      <w:r>
        <w:t>Review measured pitch, uncertainty and any clearly labelled nearest-degree or explicit-target deviation.</w:t>
      </w:r>
    </w:p>
    <w:p>
      <w:pPr>
        <w:pStyle w:val="ListNumber"/>
      </w:pPr>
      <w:r>
        <w:t>Choose a local processing goal or describe it in the assistant. Confirm the supported goal and selected vocal.</w:t>
      </w:r>
    </w:p>
    <w:p>
      <w:pPr>
        <w:pStyle w:val="ListNumber"/>
      </w:pPr>
      <w:r>
        <w:t>Inspect the proposal's targets, parameters, evidence, limitations and expected effect.</w:t>
      </w:r>
    </w:p>
    <w:p>
      <w:pPr>
        <w:pStyle w:val="ListNumber"/>
      </w:pPr>
      <w:r>
        <w:t>Render and audition an isolated candidate in solo and in the backing context.</w:t>
      </w:r>
    </w:p>
    <w:p>
      <w:pPr>
        <w:pStyle w:val="ListNumber"/>
      </w:pPr>
      <w:r>
        <w:t>Choose Keep to approve that exact candidate for the working session, or Discard. During discovery only, retain or reject a separate preview file.</w:t>
      </w:r>
    </w:p>
    <w:p>
      <w:pPr>
        <w:pStyle w:val="ListNumber"/>
      </w:pPr>
      <w:r>
        <w:t>Save, reopen and export an explicitly selected version; undo a committed task when needed.</w:t>
      </w:r>
    </w:p>
    <w:p>
      <w:pPr>
        <w:pStyle w:val="Heading2"/>
      </w:pPr>
      <w:r>
        <w:t>5.2 Interaction modes</w:t>
      </w:r>
    </w:p>
    <w:p>
      <w:r>
        <w:rPr>
          <w:b/>
        </w:rPr>
        <w:t>Explain:</w:t>
      </w:r>
      <w:r>
        <w:t xml:space="preserve"> read session state and analyse audio. It must not change musical content, routing, processors, gain or automation. Local caches, analysis overlays and task logs are permitted operational records and do not enter the musical undo history.</w:t>
      </w:r>
    </w:p>
    <w:p>
      <w:r>
        <w:rPr>
          <w:b/>
        </w:rPr>
        <w:t>Suggest:</w:t>
      </w:r>
      <w:r>
        <w:t xml:space="preserve"> create an inspectable plan. Preparing a preview may write temporary candidate assets within the project cache, with no cloud audio upload and no mutation of the working session.</w:t>
      </w:r>
    </w:p>
    <w:p>
      <w:r>
        <w:rPr>
          <w:b/>
        </w:rPr>
        <w:t>Apply:</w:t>
      </w:r>
      <w:r>
        <w:t xml:space="preserve"> execute a reviewed, authorised plan after state preconditions pass. For production proposals, Keep in the audition view is the approval action. Simple supported edits can be approved from the change list without a render.</w:t>
      </w:r>
    </w:p>
    <w:p>
      <w:r>
        <w:t>Editing any operation invalidates the previous candidate and approval. A reference or session change affecting the result marks it stale. No mode silently upgrades itself to Apply.</w:t>
      </w:r>
    </w:p>
    <w:p>
      <w:pPr>
        <w:pStyle w:val="Heading2"/>
      </w:pPr>
      <w:r>
        <w:t>5.3 Required surfaces</w:t>
      </w:r>
    </w:p>
    <w:p>
      <w:pPr>
        <w:pStyle w:val="ListBullet"/>
      </w:pPr>
      <w:r>
        <w:t>Assistant panel with selected scope, mode, request, progress, cancellation and evidence-linked responses.</w:t>
      </w:r>
    </w:p>
    <w:p>
      <w:pPr>
        <w:pStyle w:val="ListBullet"/>
      </w:pPr>
      <w:r>
        <w:t>Vocal inspector with waveform, continuous pitch, Sa, uncertainty and precise range selection. MIDI import and custom tuning remain in advanced controls; a useful first analysis requires neither.</w:t>
      </w:r>
    </w:p>
    <w:p>
      <w:pPr>
        <w:pStyle w:val="ListBullet"/>
      </w:pPr>
      <w:r>
        <w:t>Local goal controls for gain, vocal clarity and evenness, plus change review with target names and IDs, before and after values, units, rule provenance and affected scope.</w:t>
      </w:r>
    </w:p>
    <w:p>
      <w:pPr>
        <w:pStyle w:val="ListBullet"/>
      </w:pPr>
      <w:r>
        <w:t>Audition view with A/B switching, solo and context listening, visible loudness matching, Keep and Discard.</w:t>
      </w:r>
    </w:p>
    <w:p>
      <w:pPr>
        <w:pStyle w:val="ListBullet"/>
      </w:pPr>
      <w:r>
        <w:t>Task history with request, state, applied changes, outcome, undo availability and recovery instructions.</w:t>
      </w:r>
    </w:p>
    <w:p>
      <w:r>
        <w:t>Normal users should not need to inspect raw JSON. Technical details and complete receipts remain accessible on demand. Keyboard operation, readable contrast and labels that do not rely on colour are required.</w:t>
      </w:r>
    </w:p>
    <w:p>
      <w:pPr>
        <w:pStyle w:val="Heading1"/>
      </w:pPr>
      <w:r>
        <w:t>6 Functional requirements</w:t>
      </w:r>
    </w:p>
    <w:p>
      <w:pPr>
        <w:pStyle w:val="Heading2"/>
      </w:pPr>
      <w:r>
        <w:t>6.1 FR 01 Session understanding</w:t>
      </w:r>
    </w:p>
    <w:p>
      <w:r>
        <w:rPr>
          <w:b/>
        </w:rPr>
        <w:t>Priority P0.</w:t>
      </w:r>
      <w:r>
        <w:t xml:space="preserve"> Read the selected session, source availability, audio and MIDI track types, clips, relevant routing, inserts, sends and automation through structured interfaces. Track roles are user-confirmed labels, not facts inferred solely from a filename.</w:t>
      </w:r>
    </w:p>
    <w:p>
      <w:r>
        <w:t>Session questions must distinguish known, measured, inferred and unavailable information. Numeric audio answers must name the measurement range and signal location. An unsupported processor may be reported as present, but its function must not be asserted without trusted metadata.</w:t>
      </w:r>
    </w:p>
    <w:p>
      <w:r>
        <w:rPr>
          <w:b/>
        </w:rPr>
        <w:t>Acceptance:</w:t>
      </w:r>
      <w:r>
        <w:t xml:space="preserve"> gate G03 demonstrates correct responses and target resolution, including duplicate names, changed selections, missing media and unknown processors.</w:t>
      </w:r>
    </w:p>
    <w:p>
      <w:pPr>
        <w:pStyle w:val="Heading2"/>
      </w:pPr>
      <w:r>
        <w:t>6.2 FR 02 Controlled session editing</w:t>
      </w:r>
    </w:p>
    <w:p>
      <w:r>
        <w:rPr>
          <w:b/>
        </w:rPr>
        <w:t>Priority P0.</w:t>
      </w:r>
      <w:r>
        <w:t xml:space="preserve"> Support absolute gain and pan assignments, mute and solo assignments, renaming, and adding or modifying qualified built-in EQ and compression. The capability manifest must list actual command IDs, parameter units, ranges, defaults, processor versions and reversibility.</w:t>
      </w:r>
    </w:p>
    <w:p>
      <w:r>
        <w:t>Resolve relative requests into absolute proposed values using the reviewed baseline. Execute with explicit object IDs and parameters. Do not rely on current selection or toggles. Missing, disabled, unsupported or ambiguous operations must be rejected or clarified before approval.</w:t>
      </w:r>
    </w:p>
    <w:p>
      <w:r>
        <w:t>AI edits to routing, clip boundaries, automation curves, record arming, monitoring, transport recording, source deletion and third-party processors are excluded. Existing parameter automation that would override a proposed static setting blocks that operation; the assistant explains the conflict.</w:t>
      </w:r>
    </w:p>
    <w:p>
      <w:r>
        <w:rPr>
          <w:b/>
        </w:rPr>
        <w:t>Acceptance:</w:t>
      </w:r>
      <w:r>
        <w:t xml:space="preserve"> G03 and G04 pass for every operation admitted to the manifest.</w:t>
      </w:r>
    </w:p>
    <w:p>
      <w:pPr>
        <w:pStyle w:val="Heading2"/>
      </w:pPr>
      <w:r>
        <w:t>6.3 FR 03 Vocal pitch and sur analysis</w:t>
      </w:r>
    </w:p>
    <w:p>
      <w:r>
        <w:rPr>
          <w:b/>
        </w:rPr>
        <w:t>Priority P0 for offline measurement, selected-note practice and supported MIDI comparison.</w:t>
      </w:r>
      <w:r>
        <w:t xml:space="preserve"> Providing MIDI is optional for the user; its supported comparison path still requires qualification. Estimate fundamental frequency, voiced state and confidence. Preserve and display the continuous pitch trajectory in Hz and cents, with optional musical-note or swara labels. The user confirms Sa in Hz and its octave; changing Sa changes the interpretation, not the recorded sound.</w:t>
      </w:r>
    </w:p>
    <w:p>
      <w:r>
        <w:t>The default Pitch Check requires no MIDI. It shows the trajectory relative to Sa, voiced regions and uncertainty. An optional scale overlays candidate degrees. Nearest-degree labels describe proximity to the selected tuning; they must not snap or replace the measured contour, identify the intended melody or label an expressive slide as an error. Equal temperament is a named tuning option. Custom cents offsets are advanced controls.</w:t>
      </w:r>
    </w:p>
    <w:p>
      <w:r>
        <w:t>Selected-note practice asks the user to choose a target swara, octave and sustained region. Report cents deviation, stability and confidence only for valid voiced samples, with transition and unvoiced regions visible. This is analysis of a recorded exercise, not real-time coaching or judgement of an entire song.</w:t>
      </w:r>
    </w:p>
    <w:p>
      <w:r>
        <w:t>Advanced song comparison accepts a monophonic MIDI clip mapped to session sample positions. The user confirms global timing and transposition. Reject overlapping notes, unsupported bends or unresolved timing with an explanation. Report deviation from that explicit target; distinguish sustained sections from transitions. There is no automatic raga correctness claim or automatic time warping to a guide singer.</w:t>
      </w:r>
    </w:p>
    <w:p>
      <w:r>
        <w:t>Upstream Audio to MIDI is a candidate input aid, not a qualified reference generator. Its current path estimates pitch, rounds to semitones and segments notes, without preserving a confidence-bearing continuous guide contour. Any later guide-audio workflow must retain provenance, let the user correct notes and alignment, expose uncertainty in both recordings, and avoid treating a comparison with the same source take as independent validation. [S11]</w:t>
      </w:r>
    </w:p>
    <w:p>
      <w:r>
        <w:rPr>
          <w:b/>
        </w:rPr>
        <w:t>Acceptance:</w:t>
      </w:r>
      <w:r>
        <w:t xml:space="preserve"> G06 and G07 pass for each advertised mode. The no-reference flow is included in both G00 and G11. Without an explicit target, the system reports measurements and nearest-degree proximity without judging intended notes wrong.</w:t>
      </w:r>
    </w:p>
    <w:p>
      <w:pPr>
        <w:pStyle w:val="Heading2"/>
      </w:pPr>
      <w:r>
        <w:t>6.4 FR 04 Focused vocal production</w:t>
      </w:r>
    </w:p>
    <w:p>
      <w:r>
        <w:rPr>
          <w:b/>
        </w:rPr>
        <w:t>Priority P0 for gain, EQ and compression.</w:t>
      </w:r>
      <w:r>
        <w:t xml:space="preserve"> A local, versioned production policy maps an approved goal and measured audio features to exact processor settings. The LLM may classify a request into a supported goal, ask for clarification and explain the evidence. It does not calculate or supply production parameter values.</w:t>
      </w:r>
    </w:p>
    <w:p>
      <w:r>
        <w:t>The first goal set is headroom or level adjustment, vocal clarity and more even vocal level. Each goal must have a tested rule set that declares required measurements, applicability conditions, uncertainty checks, allowed processors, parameter bounds, maximum change and abstention conditions. Missing evidence or an unsupported request produces an explanation or no-change result. Spectral features alone do not establish a definitive musical diagnosis.</w:t>
      </w:r>
    </w:p>
    <w:p>
      <w:r>
        <w:t>The same input fingerprint, goal, user controls, rule version and processor manifest must produce the same parameter proposal. A proposal records the matched rule, measurements and units, before and after values, processor order, applicability limits and expected effect. Parameter values are recommendations; deterministic rules do not turn them into measured facts or prove they sound better.</w:t>
      </w:r>
    </w:p>
    <w:p>
      <w:r>
        <w:t>The offline goal controls use this same policy. User edits to a proposal create a new reviewed plan within allowed parameter bounds and invalidate the earlier preview and approval. The model cannot silently alter those settings. Use one candidate per proposal, with another produced only on user request; no autonomous search for a numerically optimal mix.</w:t>
      </w:r>
    </w:p>
    <w:p>
      <w:r>
        <w:rPr>
          <w:b/>
        </w:rPr>
        <w:t>Acceptance:</w:t>
      </w:r>
      <w:r>
        <w:t xml:space="preserve"> G05, G08 and G11 pass, and rule fixtures verify exact expected settings or abstention. A reviewed candidate survives save and reopen within the declared render tolerance. Keeping the original is a valid outcome.</w:t>
      </w:r>
    </w:p>
    <w:p>
      <w:pPr>
        <w:pStyle w:val="Heading2"/>
      </w:pPr>
      <w:r>
        <w:t>6.5 FR 10 Task history and recovery</w:t>
      </w:r>
    </w:p>
    <w:p>
      <w:r>
        <w:rPr>
          <w:b/>
        </w:rPr>
        <w:t>Priority P0.</w:t>
      </w:r>
      <w:r>
        <w:t xml:space="preserve"> Retain the request, plan, approval, relevant revisions, analysis references, issued commands, completion evidence, errors and reversal record. A history item must distinguish proposed work from work that actually happened.</w:t>
      </w:r>
    </w:p>
    <w:p>
      <w:r>
        <w:t>Session edits are grouped and reversible under section 7. Read-only tasks, previews, exports and cloud disclosures have distinct history entries. Exporting or transmitting data is not represented as an undoable session edit.</w:t>
      </w:r>
    </w:p>
    <w:p>
      <w:r>
        <w:rPr>
          <w:b/>
        </w:rPr>
        <w:t>Acceptance:</w:t>
      </w:r>
      <w:r>
        <w:t xml:space="preserve"> G04 and G09 pass, including forced interruption at each mutation boundary.</w:t>
      </w:r>
    </w:p>
    <w:p>
      <w:pPr>
        <w:pStyle w:val="Heading2"/>
      </w:pPr>
      <w:r>
        <w:t>6.6 FR 11 Recording and project integrity</w:t>
      </w:r>
    </w:p>
    <w:p>
      <w:r>
        <w:rPr>
          <w:b/>
        </w:rPr>
        <w:t>Priority P0 for early access.</w:t>
      </w:r>
      <w:r>
        <w:t xml:space="preserve"> The user can select supported input and output devices, a mono input channel and qualified buffer configuration; record against backing audio; stop; save; reopen; and recover after interruption. The baseline uses a qualified interface with hardware direct monitoring. Setup explains how to enable it and avoid simultaneous app monitoring. App-processed live monitoring is available as a qualified feature only after G02-SW passes.</w:t>
      </w:r>
    </w:p>
    <w:p>
      <w:r>
        <w:t>Qualify and, where necessary, repair the existing disk writer. Test file creation failure, disk-full and writer-error reporting, ring overflow, interrupted takes, header recovery and source linking. The presence of a periodic header rewrite does not by itself prove the one-second recovery target in G09. Audio input is activated only by the user's explicit recording or monitoring action. Hardware recording tests require that explicit setup; ordinary automated UI smoke tests must not open recording input. [S7]</w:t>
      </w:r>
    </w:p>
    <w:p>
      <w:r>
        <w:t>Imported sources are copied into project-managed storage by default or explicitly linked with availability checks. Never overwrite source audio through AI commands. Detect missing media and require relinking; do not substitute silence and report a successful production workflow.</w:t>
      </w:r>
    </w:p>
    <w:p>
      <w:r>
        <w:rPr>
          <w:b/>
        </w:rPr>
        <w:t>Acceptance:</w:t>
      </w:r>
      <w:r>
        <w:t xml:space="preserve"> G01, G02 and G09 pass.</w:t>
      </w:r>
    </w:p>
    <w:p>
      <w:pPr>
        <w:pStyle w:val="Heading2"/>
      </w:pPr>
      <w:r>
        <w:t>6.7 FR 12 Candidate comparison and export</w:t>
      </w:r>
    </w:p>
    <w:p>
      <w:r>
        <w:rPr>
          <w:b/>
        </w:rPr>
        <w:t>Priority P0.</w:t>
      </w:r>
      <w:r>
        <w:t xml:space="preserve"> Render an isolated candidate from the reviewed session revision using the same qualified processing path as playback. Keep the original state and render available until the user chooses and the change is recoverable.</w:t>
      </w:r>
    </w:p>
    <w:p>
      <w:r>
        <w:t>Compare identical ranges with processor latency and tail handling recorded. Offer solo and context comparisons. Loudness matching is an audition setting, remains visible and is never silently applied to exports. Reject non-finite audio and flag newly introduced sample or true-peak clipping. Any protective audition attenuation is shown and applied consistently.</w:t>
      </w:r>
    </w:p>
    <w:p>
      <w:r>
        <w:t>Exports require an explicit version, range, format and destination. Existing-file replacement requires a specific confirmation. The AI workflow cannot export over any source recording. Default export does not normalise or limit audio unless the user selects and reviews that operation.</w:t>
      </w:r>
    </w:p>
    <w:p>
      <w:r>
        <w:rPr>
          <w:b/>
        </w:rPr>
        <w:t>Acceptance:</w:t>
      </w:r>
      <w:r>
        <w:t xml:space="preserve"> G05, G08 and G09 pass.</w:t>
      </w:r>
    </w:p>
    <w:p>
      <w:pPr>
        <w:pStyle w:val="Heading2"/>
      </w:pPr>
      <w:r>
        <w:t>6.8 FR 13 Job and capability management</w:t>
      </w:r>
    </w:p>
    <w:p>
      <w:r>
        <w:rPr>
          <w:b/>
        </w:rPr>
        <w:t>Priority P0.</w:t>
      </w:r>
      <w:r>
        <w:t xml:space="preserve"> Show supported features, model availability, job progress, resource errors and cancellation state. Unsupported inputs fail before costly processing where detectable. Large jobs must respect section 11 limits.</w:t>
      </w:r>
    </w:p>
    <w:p>
      <w:r>
        <w:t>Disable only affected assistant features if the provider or analysis worker fails. Manual DAW use and already available local measurements continue. Deleting the cache must not delete sources, saved processing or durable recovery records.</w:t>
      </w:r>
    </w:p>
    <w:p>
      <w:r>
        <w:rPr>
          <w:b/>
        </w:rPr>
        <w:t>Acceptance:</w:t>
      </w:r>
      <w:r>
        <w:t xml:space="preserve"> G10 and G12 pass.</w:t>
      </w:r>
    </w:p>
    <w:p>
      <w:pPr>
        <w:pStyle w:val="Heading2"/>
      </w:pPr>
      <w:r>
        <w:t>6.9 Original requirements retained for later releases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859"/>
        <w:gridCol w:w="4234"/>
      </w:tblGrid>
      <w:tr>
        <w:trPr>
          <w:cantSplit/>
          <w:tblHeader/>
        </w:trPr>
        <w:tc>
          <w:tcPr>
            <w:tcW w:type="dxa" w:w="1987"/>
            <w:vAlign w:val="center"/>
            <w:shd w:fill="243B53"/>
            <w:tcMar>
              <w:top w:w="65" w:type="dxa"/>
              <w:bottom w:w="65" w:type="dxa"/>
              <w:left w:w="95" w:type="dxa"/>
              <w:right w:w="95" w:type="dxa"/>
            </w:tcMar>
          </w:tcPr>
          <w:p>
            <w:pPr>
              <w:spacing w:line="254" w:lineRule="auto" w:after="40" w:before="40"/>
            </w:pPr>
            <w:r>
              <w:rPr>
                <w:b/>
                <w:color w:val="FFFFFF"/>
                <w:sz w:val="21"/>
              </w:rPr>
              <w:t>Original ID</w:t>
            </w:r>
          </w:p>
        </w:tc>
        <w:tc>
          <w:tcPr>
            <w:tcW w:type="dxa" w:w="3859"/>
            <w:vAlign w:val="center"/>
            <w:shd w:fill="243B53"/>
            <w:tcMar>
              <w:top w:w="65" w:type="dxa"/>
              <w:bottom w:w="65" w:type="dxa"/>
              <w:left w:w="95" w:type="dxa"/>
              <w:right w:w="95" w:type="dxa"/>
            </w:tcMar>
          </w:tcPr>
          <w:p>
            <w:pPr>
              <w:spacing w:line="254" w:lineRule="auto" w:after="40" w:before="40"/>
            </w:pPr>
            <w:r>
              <w:rPr>
                <w:b/>
                <w:color w:val="FFFFFF"/>
                <w:sz w:val="21"/>
              </w:rPr>
              <w:t>Retained intent</w:t>
            </w:r>
          </w:p>
        </w:tc>
        <w:tc>
          <w:tcPr>
            <w:tcW w:type="dxa" w:w="4234"/>
            <w:vAlign w:val="center"/>
            <w:shd w:fill="243B53"/>
            <w:tcMar>
              <w:top w:w="65" w:type="dxa"/>
              <w:bottom w:w="65" w:type="dxa"/>
              <w:left w:w="95" w:type="dxa"/>
              <w:right w:w="95" w:type="dxa"/>
            </w:tcMar>
          </w:tcPr>
          <w:p>
            <w:pPr>
              <w:spacing w:line="254" w:lineRule="auto" w:after="40" w:before="40"/>
            </w:pPr>
            <w:r>
              <w:rPr>
                <w:b/>
                <w:color w:val="FFFFFF"/>
                <w:sz w:val="21"/>
              </w:rPr>
              <w:t>Version 0.3 treatment</w:t>
            </w:r>
          </w:p>
        </w:tc>
      </w:tr>
      <w:tr>
        <w:trPr>
          <w:cantSplit/>
        </w:trPr>
        <w:tc>
          <w:tcPr>
            <w:tcW w:type="dxa" w:w="1987"/>
            <w:vAlign w:val="center"/>
            <w:shd w:fill="F2F5F8"/>
            <w:tcMar>
              <w:top w:w="65" w:type="dxa"/>
              <w:bottom w:w="65" w:type="dxa"/>
              <w:left w:w="95" w:type="dxa"/>
              <w:right w:w="95" w:type="dxa"/>
            </w:tcMar>
          </w:tcPr>
          <w:p>
            <w:pPr>
              <w:spacing w:line="254" w:lineRule="auto" w:after="40" w:before="40"/>
            </w:pPr>
            <w:r>
              <w:rPr>
                <w:sz w:val="21"/>
              </w:rPr>
              <w:t>FR-05</w:t>
            </w:r>
          </w:p>
        </w:tc>
        <w:tc>
          <w:tcPr>
            <w:tcW w:type="dxa" w:w="3859"/>
            <w:vAlign w:val="center"/>
            <w:shd w:fill="F2F5F8"/>
            <w:tcMar>
              <w:top w:w="65" w:type="dxa"/>
              <w:bottom w:w="65" w:type="dxa"/>
              <w:left w:w="95" w:type="dxa"/>
              <w:right w:w="95" w:type="dxa"/>
            </w:tcMar>
          </w:tcPr>
          <w:p>
            <w:pPr>
              <w:spacing w:line="254" w:lineRule="auto" w:after="40" w:before="40"/>
            </w:pPr>
            <w:r>
              <w:rPr>
                <w:sz w:val="21"/>
              </w:rPr>
              <w:t>Non-destructive pitch correction</w:t>
            </w:r>
          </w:p>
        </w:tc>
        <w:tc>
          <w:tcPr>
            <w:tcW w:type="dxa" w:w="4234"/>
            <w:vAlign w:val="center"/>
            <w:shd w:fill="F2F5F8"/>
            <w:tcMar>
              <w:top w:w="65" w:type="dxa"/>
              <w:bottom w:w="65" w:type="dxa"/>
              <w:left w:w="95" w:type="dxa"/>
              <w:right w:w="95" w:type="dxa"/>
            </w:tcMar>
          </w:tcPr>
          <w:p>
            <w:pPr>
              <w:spacing w:line="254" w:lineRule="auto" w:after="40" w:before="40"/>
            </w:pPr>
            <w:r>
              <w:rPr>
                <w:sz w:val="21"/>
              </w:rPr>
              <w:t>Later research and DSP milestone</w:t>
            </w:r>
          </w:p>
        </w:tc>
      </w:tr>
      <w:tr>
        <w:trPr>
          <w:cantSplit/>
        </w:trPr>
        <w:tc>
          <w:tcPr>
            <w:tcW w:type="dxa" w:w="1987"/>
            <w:vAlign w:val="center"/>
            <w:shd w:fill="FFFFFF"/>
            <w:tcMar>
              <w:top w:w="65" w:type="dxa"/>
              <w:bottom w:w="65" w:type="dxa"/>
              <w:left w:w="95" w:type="dxa"/>
              <w:right w:w="95" w:type="dxa"/>
            </w:tcMar>
          </w:tcPr>
          <w:p>
            <w:pPr>
              <w:spacing w:line="254" w:lineRule="auto" w:after="40" w:before="40"/>
            </w:pPr>
            <w:r>
              <w:rPr>
                <w:sz w:val="21"/>
              </w:rPr>
              <w:t>FR-06</w:t>
            </w:r>
          </w:p>
        </w:tc>
        <w:tc>
          <w:tcPr>
            <w:tcW w:type="dxa" w:w="3859"/>
            <w:vAlign w:val="center"/>
            <w:shd w:fill="FFFFFF"/>
            <w:tcMar>
              <w:top w:w="65" w:type="dxa"/>
              <w:bottom w:w="65" w:type="dxa"/>
              <w:left w:w="95" w:type="dxa"/>
              <w:right w:w="95" w:type="dxa"/>
            </w:tcMar>
          </w:tcPr>
          <w:p>
            <w:pPr>
              <w:spacing w:line="254" w:lineRule="auto" w:after="40" w:before="40"/>
            </w:pPr>
            <w:r>
              <w:rPr>
                <w:sz w:val="21"/>
              </w:rPr>
              <w:t>Broad mix diagnostics and assistance</w:t>
            </w:r>
          </w:p>
        </w:tc>
        <w:tc>
          <w:tcPr>
            <w:tcW w:type="dxa" w:w="4234"/>
            <w:vAlign w:val="center"/>
            <w:shd w:fill="FFFFFF"/>
            <w:tcMar>
              <w:top w:w="65" w:type="dxa"/>
              <w:bottom w:w="65" w:type="dxa"/>
              <w:left w:w="95" w:type="dxa"/>
              <w:right w:w="95" w:type="dxa"/>
            </w:tcMar>
          </w:tcPr>
          <w:p>
            <w:pPr>
              <w:spacing w:line="254" w:lineRule="auto" w:after="40" w:before="40"/>
            </w:pPr>
            <w:r>
              <w:rPr>
                <w:sz w:val="21"/>
              </w:rPr>
              <w:t>Later; only measurements needed by FR-04 included now</w:t>
            </w:r>
          </w:p>
        </w:tc>
      </w:tr>
      <w:tr>
        <w:trPr>
          <w:cantSplit/>
        </w:trPr>
        <w:tc>
          <w:tcPr>
            <w:tcW w:type="dxa" w:w="1987"/>
            <w:vAlign w:val="center"/>
            <w:shd w:fill="F2F5F8"/>
            <w:tcMar>
              <w:top w:w="65" w:type="dxa"/>
              <w:bottom w:w="65" w:type="dxa"/>
              <w:left w:w="95" w:type="dxa"/>
              <w:right w:w="95" w:type="dxa"/>
            </w:tcMar>
          </w:tcPr>
          <w:p>
            <w:pPr>
              <w:spacing w:line="254" w:lineRule="auto" w:after="40" w:before="40"/>
            </w:pPr>
            <w:r>
              <w:rPr>
                <w:sz w:val="21"/>
              </w:rPr>
              <w:t>FR-07</w:t>
            </w:r>
          </w:p>
        </w:tc>
        <w:tc>
          <w:tcPr>
            <w:tcW w:type="dxa" w:w="3859"/>
            <w:vAlign w:val="center"/>
            <w:shd w:fill="F2F5F8"/>
            <w:tcMar>
              <w:top w:w="65" w:type="dxa"/>
              <w:bottom w:w="65" w:type="dxa"/>
              <w:left w:w="95" w:type="dxa"/>
              <w:right w:w="95" w:type="dxa"/>
            </w:tcMar>
          </w:tcPr>
          <w:p>
            <w:pPr>
              <w:spacing w:line="254" w:lineRule="auto" w:after="40" w:before="40"/>
            </w:pPr>
            <w:r>
              <w:rPr>
                <w:sz w:val="21"/>
              </w:rPr>
              <w:t>Take comparison and comping</w:t>
            </w:r>
          </w:p>
        </w:tc>
        <w:tc>
          <w:tcPr>
            <w:tcW w:type="dxa" w:w="4234"/>
            <w:vAlign w:val="center"/>
            <w:shd w:fill="F2F5F8"/>
            <w:tcMar>
              <w:top w:w="65" w:type="dxa"/>
              <w:bottom w:w="65" w:type="dxa"/>
              <w:left w:w="95" w:type="dxa"/>
              <w:right w:w="95" w:type="dxa"/>
            </w:tcMar>
          </w:tcPr>
          <w:p>
            <w:pPr>
              <w:spacing w:line="254" w:lineRule="auto" w:after="40" w:before="40"/>
            </w:pPr>
            <w:r>
              <w:rPr>
                <w:sz w:val="21"/>
              </w:rPr>
              <w:t>Later; basic recording integrity moved to FR-11</w:t>
            </w:r>
          </w:p>
        </w:tc>
      </w:tr>
      <w:tr>
        <w:trPr>
          <w:cantSplit/>
        </w:trPr>
        <w:tc>
          <w:tcPr>
            <w:tcW w:type="dxa" w:w="1987"/>
            <w:vAlign w:val="center"/>
            <w:shd w:fill="FFFFFF"/>
            <w:tcMar>
              <w:top w:w="65" w:type="dxa"/>
              <w:bottom w:w="65" w:type="dxa"/>
              <w:left w:w="95" w:type="dxa"/>
              <w:right w:w="95" w:type="dxa"/>
            </w:tcMar>
          </w:tcPr>
          <w:p>
            <w:pPr>
              <w:spacing w:line="254" w:lineRule="auto" w:after="40" w:before="40"/>
            </w:pPr>
            <w:r>
              <w:rPr>
                <w:sz w:val="21"/>
              </w:rPr>
              <w:t>FR-08</w:t>
            </w:r>
          </w:p>
        </w:tc>
        <w:tc>
          <w:tcPr>
            <w:tcW w:type="dxa" w:w="3859"/>
            <w:vAlign w:val="center"/>
            <w:shd w:fill="FFFFFF"/>
            <w:tcMar>
              <w:top w:w="65" w:type="dxa"/>
              <w:bottom w:w="65" w:type="dxa"/>
              <w:left w:w="95" w:type="dxa"/>
              <w:right w:w="95" w:type="dxa"/>
            </w:tcMar>
          </w:tcPr>
          <w:p>
            <w:pPr>
              <w:spacing w:line="254" w:lineRule="auto" w:after="40" w:before="40"/>
            </w:pPr>
            <w:r>
              <w:rPr>
                <w:sz w:val="21"/>
              </w:rPr>
              <w:t>Arrangement assistance</w:t>
            </w:r>
          </w:p>
        </w:tc>
        <w:tc>
          <w:tcPr>
            <w:tcW w:type="dxa" w:w="4234"/>
            <w:vAlign w:val="center"/>
            <w:shd w:fill="FFFFFF"/>
            <w:tcMar>
              <w:top w:w="65" w:type="dxa"/>
              <w:bottom w:w="65" w:type="dxa"/>
              <w:left w:w="95" w:type="dxa"/>
              <w:right w:w="95" w:type="dxa"/>
            </w:tcMar>
          </w:tcPr>
          <w:p>
            <w:pPr>
              <w:spacing w:line="254" w:lineRule="auto" w:after="40" w:before="40"/>
            </w:pPr>
            <w:r>
              <w:rPr>
                <w:sz w:val="21"/>
              </w:rPr>
              <w:t>Later</w:t>
            </w:r>
          </w:p>
        </w:tc>
      </w:tr>
      <w:tr>
        <w:trPr>
          <w:cantSplit/>
        </w:trPr>
        <w:tc>
          <w:tcPr>
            <w:tcW w:type="dxa" w:w="1987"/>
            <w:vAlign w:val="center"/>
            <w:shd w:fill="F2F5F8"/>
            <w:tcMar>
              <w:top w:w="65" w:type="dxa"/>
              <w:bottom w:w="65" w:type="dxa"/>
              <w:left w:w="95" w:type="dxa"/>
              <w:right w:w="95" w:type="dxa"/>
            </w:tcMar>
          </w:tcPr>
          <w:p>
            <w:pPr>
              <w:spacing w:line="254" w:lineRule="auto" w:after="40" w:before="40"/>
            </w:pPr>
            <w:r>
              <w:rPr>
                <w:sz w:val="21"/>
              </w:rPr>
              <w:t>FR-09</w:t>
            </w:r>
          </w:p>
        </w:tc>
        <w:tc>
          <w:tcPr>
            <w:tcW w:type="dxa" w:w="3859"/>
            <w:vAlign w:val="center"/>
            <w:shd w:fill="F2F5F8"/>
            <w:tcMar>
              <w:top w:w="65" w:type="dxa"/>
              <w:bottom w:w="65" w:type="dxa"/>
              <w:left w:w="95" w:type="dxa"/>
              <w:right w:w="95" w:type="dxa"/>
            </w:tcMar>
          </w:tcPr>
          <w:p>
            <w:pPr>
              <w:spacing w:line="254" w:lineRule="auto" w:after="40" w:before="40"/>
            </w:pPr>
            <w:r>
              <w:rPr>
                <w:sz w:val="21"/>
              </w:rPr>
              <w:t>Mastering assistance</w:t>
            </w:r>
          </w:p>
        </w:tc>
        <w:tc>
          <w:tcPr>
            <w:tcW w:type="dxa" w:w="4234"/>
            <w:vAlign w:val="center"/>
            <w:shd w:fill="F2F5F8"/>
            <w:tcMar>
              <w:top w:w="65" w:type="dxa"/>
              <w:bottom w:w="65" w:type="dxa"/>
              <w:left w:w="95" w:type="dxa"/>
              <w:right w:w="95" w:type="dxa"/>
            </w:tcMar>
          </w:tcPr>
          <w:p>
            <w:pPr>
              <w:spacing w:line="254" w:lineRule="auto" w:after="40" w:before="40"/>
            </w:pPr>
            <w:r>
              <w:rPr>
                <w:sz w:val="21"/>
              </w:rPr>
              <w:t>Later</w:t>
            </w:r>
          </w:p>
        </w:tc>
      </w:tr>
    </w:tbl>
    <w:p>
      <w:pPr>
        <w:spacing w:after="40" w:before="0" w:line="240" w:lineRule="auto"/>
      </w:pPr>
      <w:r>
        <w:rPr>
          <w:sz w:val="4"/>
        </w:rPr>
      </w:r>
    </w:p>
    <w:p>
      <w:r>
        <w:t>Original IDs remain stable. FR-04's broader de-essing, noise processing, reverb and delay are deferred rather than implied by its P0 subset.</w:t>
      </w:r>
    </w:p>
    <w:p>
      <w:pPr>
        <w:pStyle w:val="Heading1"/>
      </w:pPr>
      <w:r>
        <w:t>7 Execution and approval contract</w:t>
      </w:r>
    </w:p>
    <w:p>
      <w:pPr>
        <w:pStyle w:val="Heading2"/>
      </w:pPr>
      <w:r>
        <w:t>7.1 Authoritative state and records</w:t>
      </w:r>
    </w:p>
    <w:p>
      <w:r>
        <w:t>The DAW engine owns musical state. The execution controller owns task progress and approval. The following logical records can be fields or events in one local task journal; they do not require separate services or databases. They are proposed contracts, not existing upstream API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7949"/>
      </w:tblGrid>
      <w:tr>
        <w:trPr>
          <w:cantSplit/>
          <w:tblHeader/>
        </w:trPr>
        <w:tc>
          <w:tcPr>
            <w:tcW w:type="dxa" w:w="2131"/>
            <w:vAlign w:val="center"/>
            <w:shd w:fill="243B53"/>
            <w:tcMar>
              <w:top w:w="65" w:type="dxa"/>
              <w:bottom w:w="65" w:type="dxa"/>
              <w:left w:w="95" w:type="dxa"/>
              <w:right w:w="95" w:type="dxa"/>
            </w:tcMar>
          </w:tcPr>
          <w:p>
            <w:pPr>
              <w:spacing w:line="254" w:lineRule="auto" w:after="40" w:before="40"/>
            </w:pPr>
            <w:r>
              <w:rPr>
                <w:b/>
                <w:color w:val="FFFFFF"/>
                <w:sz w:val="21"/>
              </w:rPr>
              <w:t>Record</w:t>
            </w:r>
          </w:p>
        </w:tc>
        <w:tc>
          <w:tcPr>
            <w:tcW w:type="dxa" w:w="7949"/>
            <w:vAlign w:val="center"/>
            <w:shd w:fill="243B53"/>
            <w:tcMar>
              <w:top w:w="65" w:type="dxa"/>
              <w:bottom w:w="65" w:type="dxa"/>
              <w:left w:w="95" w:type="dxa"/>
              <w:right w:w="95" w:type="dxa"/>
            </w:tcMar>
          </w:tcPr>
          <w:p>
            <w:pPr>
              <w:spacing w:line="254" w:lineRule="auto" w:after="40" w:before="40"/>
            </w:pPr>
            <w:r>
              <w:rPr>
                <w:b/>
                <w:color w:val="FFFFFF"/>
                <w:sz w:val="21"/>
              </w:rPr>
              <w:t>Required fields</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Plan</w:t>
            </w:r>
          </w:p>
        </w:tc>
        <w:tc>
          <w:tcPr>
            <w:tcW w:type="dxa" w:w="7949"/>
            <w:vAlign w:val="center"/>
            <w:shd w:fill="F2F5F8"/>
            <w:tcMar>
              <w:top w:w="65" w:type="dxa"/>
              <w:bottom w:w="65" w:type="dxa"/>
              <w:left w:w="95" w:type="dxa"/>
              <w:right w:w="95" w:type="dxa"/>
            </w:tcMar>
          </w:tcPr>
          <w:p>
            <w:pPr>
              <w:spacing w:line="254" w:lineRule="auto" w:after="40" w:before="40"/>
            </w:pPr>
            <w:r>
              <w:rPr>
                <w:sz w:val="21"/>
              </w:rPr>
              <w:t>Contract version; plan ID and digest; session instance and expected revision; target IDs; ordered operations and units; evidence fingerprint; rule version; resource limits</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Approval</w:t>
            </w:r>
          </w:p>
        </w:tc>
        <w:tc>
          <w:tcPr>
            <w:tcW w:type="dxa" w:w="7949"/>
            <w:vAlign w:val="center"/>
            <w:shd w:fill="FFFFFF"/>
            <w:tcMar>
              <w:top w:w="65" w:type="dxa"/>
              <w:bottom w:w="65" w:type="dxa"/>
              <w:left w:w="95" w:type="dxa"/>
              <w:right w:w="95" w:type="dxa"/>
            </w:tcMar>
          </w:tcPr>
          <w:p>
            <w:pPr>
              <w:spacing w:line="254" w:lineRule="auto" w:after="40" w:before="40"/>
            </w:pPr>
            <w:r>
              <w:rPr>
                <w:sz w:val="21"/>
              </w:rPr>
              <w:t>Reviewed plan and candidate digests; expected revision; user action and timestamp; authorised scope</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Execution receipt</w:t>
            </w:r>
          </w:p>
        </w:tc>
        <w:tc>
          <w:tcPr>
            <w:tcW w:type="dxa" w:w="7949"/>
            <w:vAlign w:val="center"/>
            <w:shd w:fill="F2F5F8"/>
            <w:tcMar>
              <w:top w:w="65" w:type="dxa"/>
              <w:bottom w:w="65" w:type="dxa"/>
              <w:left w:w="95" w:type="dxa"/>
              <w:right w:w="95" w:type="dxa"/>
            </w:tcMar>
          </w:tcPr>
          <w:p>
            <w:pPr>
              <w:spacing w:line="254" w:lineRule="auto" w:after="40" w:before="40"/>
            </w:pPr>
            <w:r>
              <w:rPr>
                <w:sz w:val="21"/>
              </w:rPr>
              <w:t>Execution identity; plan digest; before and after revision; actual results; postcondition evidence; outcome; grouped undo reference</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Recovery entry</w:t>
            </w:r>
          </w:p>
        </w:tc>
        <w:tc>
          <w:tcPr>
            <w:tcW w:type="dxa" w:w="7949"/>
            <w:vAlign w:val="center"/>
            <w:shd w:fill="FFFFFF"/>
            <w:tcMar>
              <w:top w:w="65" w:type="dxa"/>
              <w:bottom w:w="65" w:type="dxa"/>
              <w:left w:w="95" w:type="dxa"/>
              <w:right w:w="95" w:type="dxa"/>
            </w:tcMar>
          </w:tcPr>
          <w:p>
            <w:pPr>
              <w:spacing w:line="254" w:lineRule="auto" w:after="40" w:before="40"/>
            </w:pPr>
            <w:r>
              <w:rPr>
                <w:sz w:val="21"/>
              </w:rPr>
              <w:t>Last durable phase; staged assets; prior-state reference; published revision if any; reconciliation result and unresolved conflicts</w:t>
            </w:r>
          </w:p>
        </w:tc>
      </w:tr>
    </w:tbl>
    <w:p>
      <w:pPr>
        <w:spacing w:after="40" w:before="0" w:line="240" w:lineRule="auto"/>
      </w:pPr>
      <w:r>
        <w:rPr>
          <w:sz w:val="4"/>
        </w:rPr>
      </w:r>
    </w:p>
    <w:p>
      <w:r>
        <w:t>The Phase 0 discovery experiment needs an input/output manifest and consent record, not this complete mutation journal, because it creates separate previews from copied inputs. The integrated prototype needs these protections for every admitted session mutation, starting with a narrow operation set. Do not weaken correctness by applying a large unqualified batch during a demonstration.</w:t>
      </w:r>
    </w:p>
    <w:p>
      <w:pPr>
        <w:pStyle w:val="Heading2"/>
      </w:pPr>
      <w:r>
        <w:t>7.2 Preconditions and publication</w:t>
      </w:r>
    </w:p>
    <w:p>
      <w:r>
        <w:t>Reuse the existing engine revision counter where its semantics are sufficient. Bind a revision to a session-instance identity so a counter reset or reopen cannot accidentally validate an old plan. Any change to relevant musical content makes a proposal stale. The first implementation may conservatively invalidate on additional edits; it must not miss a content change. Record whether selection or view changes also invalidate until a narrower content revision is qualified. [S8, S9]</w:t>
      </w:r>
    </w:p>
    <w:p>
      <w:r>
        <w:t>Expose the required revision in inspection and check it at the authoritative engine boundary immediately before publication, serialised with manual edits. Rechecking in the companion and then sending unrelated commands leaves a race and does not satisfy the contract. Approval is bound to the exact reviewed operation set and candidate, not only the latest chat message.</w:t>
      </w:r>
    </w:p>
    <w:p>
      <w:r>
        <w:t>Stage supported changes against an isolated copy-on-write session snapshot, validate them, then publish once with one undo entry. Reuse existing snapshot and history facilities where possible. Before treating a snapshot swap as sufficient, account for processor state, source-pool changes, queued transport requests, file side effects and renderer synchronisation. Gesture coalescing and sequential MCP batches are not this transaction. [S2, S8]</w:t>
      </w:r>
    </w:p>
    <w:p>
      <w:r>
        <w:t>No working-session change is visible until staging succeeds. During publication manual mutations may queue briefly; no long analysis or rendering holds a session lock. No AI mutation is published while recording. Operations whose effects cannot be staged and recovered safely remain outside the manifest. A failed staged task discards its candidate; it does not repeatedly undo the user's live session.</w:t>
      </w:r>
    </w:p>
    <w:p>
      <w:pPr>
        <w:pStyle w:val="Heading2"/>
      </w:pPr>
      <w:r>
        <w:t>7.3 Idempotency and verification</w:t>
      </w:r>
    </w:p>
    <w:p>
      <w:r>
        <w:t>Persist the execution identity before publication and associate it durably with the resulting session revision and session instance. Pending approvals expire on restart and require renewed review. Repeating the same identity returns its known outcome; it does not reapply the operation. The same identity with different content is rejected.</w:t>
      </w:r>
    </w:p>
    <w:p>
      <w:r>
        <w:t>A lost response triggers reconciliation with the engine and journal. Unknown outcome is reported as recovery required until resolved. Do not blindly retry a mutation. Verify actual parameter values, affected scope and postconditions before reporting success.</w:t>
      </w:r>
    </w:p>
    <w:p>
      <w:pPr>
        <w:pStyle w:val="Heading2"/>
      </w:pPr>
      <w:r>
        <w:t>7.4 Undo and manual edits</w:t>
      </w:r>
    </w:p>
    <w:p>
      <w:r>
        <w:t>Immediately after a successful task, ordinary undo reverts the whole task. Later manual edits stay in the native history. The assistant must not silently undo them to reach an older task.</w:t>
      </w:r>
    </w:p>
    <w:p>
      <w:r>
        <w:t>If subsequent edits conflict with reversing an older task, show the conflict and offer explicit native-history navigation or opening the retained earlier revision as a separate recovery copy. Selective reversal is allowed only where tested dependency checks establish that unrelated work survives.</w:t>
      </w:r>
    </w:p>
    <w:p>
      <w:r>
        <w:t>Source preservation, musical-state restoration and audit retention are separate properties. A successful undo restores musical values; it need not erase caches or history.</w:t>
      </w:r>
    </w:p>
    <w:p>
      <w:pPr>
        <w:pStyle w:val="Heading2"/>
      </w:pPr>
      <w:r>
        <w:t>7.5 Lifecycle and cancellation</w:t>
      </w:r>
    </w:p>
    <w:p>
      <w:r>
        <w:t>Task states are Draft, Validated, Previewing, Ready for approval, Approved, Committing and Applied. Terminal or exceptional states are Rejected, Cancelled, Stale, Failed and Recovery required. A failed or changed preview cannot retain an earlier approval.</w:t>
      </w:r>
    </w:p>
    <w:p>
      <w:r>
        <w:t>Cancellation stops planning, analysis and staging promptly. Once atomic publication begins, report either its completed result or verified absence of publication. Do not promise cancellation of a commit whose outcome is unresolved.</w:t>
      </w:r>
    </w:p>
    <w:p>
      <w:pPr>
        <w:pStyle w:val="Heading1"/>
      </w:pPr>
      <w:r>
        <w:t>8 Audio analysis contract</w:t>
      </w:r>
    </w:p>
    <w:p>
      <w:pPr>
        <w:pStyle w:val="Heading2"/>
      </w:pPr>
      <w:r>
        <w:t>8.1 Input identity and coordinates</w:t>
      </w:r>
    </w:p>
    <w:p>
      <w:r>
        <w:t>An AnalysisRequest must include a contract version, job ID, session ID and revision, source IDs and content fingerprints, track and clip IDs, exact range, channel layout, sample rates, signal location, processing fingerprint, algorithm version and analysis settings.</w:t>
      </w:r>
    </w:p>
    <w:p>
      <w:r>
        <w:t>Use integer sample positions and start-inclusive, end-exclusive ranges in the declared timebase. Retain source-to-session mapping through trim offsets and sample-rate conversion. Unsupported time stretching or other unmapped transformations block analysis rather than produce displaced annotations.</w:t>
      </w:r>
    </w:p>
    <w:p>
      <w:r>
        <w:t>Processing identity includes relevant clip gain, inserts, parameter state, automation and routing. Record which dependencies affect a dry-source analysis and which affect a rendered-signal analysis.</w:t>
      </w:r>
    </w:p>
    <w:p>
      <w:pPr>
        <w:pStyle w:val="Heading2"/>
      </w:pPr>
      <w:r>
        <w:t>8.2 Signal locations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7949"/>
      </w:tblGrid>
      <w:tr>
        <w:trPr>
          <w:cantSplit/>
          <w:tblHeader/>
        </w:trPr>
        <w:tc>
          <w:tcPr>
            <w:tcW w:type="dxa" w:w="2131"/>
            <w:vAlign w:val="center"/>
            <w:shd w:fill="243B53"/>
            <w:tcMar>
              <w:top w:w="65" w:type="dxa"/>
              <w:bottom w:w="65" w:type="dxa"/>
              <w:left w:w="95" w:type="dxa"/>
              <w:right w:w="95" w:type="dxa"/>
            </w:tcMar>
          </w:tcPr>
          <w:p>
            <w:pPr>
              <w:spacing w:line="254" w:lineRule="auto" w:after="40" w:before="40"/>
            </w:pPr>
            <w:r>
              <w:rPr>
                <w:b/>
                <w:color w:val="FFFFFF"/>
                <w:sz w:val="21"/>
              </w:rPr>
              <w:t>Signal location</w:t>
            </w:r>
          </w:p>
        </w:tc>
        <w:tc>
          <w:tcPr>
            <w:tcW w:type="dxa" w:w="7949"/>
            <w:vAlign w:val="center"/>
            <w:shd w:fill="243B53"/>
            <w:tcMar>
              <w:top w:w="65" w:type="dxa"/>
              <w:bottom w:w="65" w:type="dxa"/>
              <w:left w:w="95" w:type="dxa"/>
              <w:right w:w="95" w:type="dxa"/>
            </w:tcMar>
          </w:tcPr>
          <w:p>
            <w:pPr>
              <w:spacing w:line="254" w:lineRule="auto" w:after="40" w:before="40"/>
            </w:pPr>
            <w:r>
              <w:rPr>
                <w:b/>
                <w:color w:val="FFFFFF"/>
                <w:sz w:val="21"/>
              </w:rPr>
              <w:t>Intended use</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Dry source selection</w:t>
            </w:r>
          </w:p>
        </w:tc>
        <w:tc>
          <w:tcPr>
            <w:tcW w:type="dxa" w:w="7949"/>
            <w:vAlign w:val="center"/>
            <w:shd w:fill="F2F5F8"/>
            <w:tcMar>
              <w:top w:w="65" w:type="dxa"/>
              <w:bottom w:w="65" w:type="dxa"/>
              <w:left w:w="95" w:type="dxa"/>
              <w:right w:w="95" w:type="dxa"/>
            </w:tcMar>
          </w:tcPr>
          <w:p>
            <w:pPr>
              <w:spacing w:line="254" w:lineRule="auto" w:after="40" w:before="40"/>
            </w:pPr>
            <w:r>
              <w:rPr>
                <w:sz w:val="21"/>
              </w:rPr>
              <w:t>F0, source peak inspection and recording diagnostics</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Clip after clip gain</w:t>
            </w:r>
          </w:p>
        </w:tc>
        <w:tc>
          <w:tcPr>
            <w:tcW w:type="dxa" w:w="7949"/>
            <w:vAlign w:val="center"/>
            <w:shd w:fill="FFFFFF"/>
            <w:tcMar>
              <w:top w:w="65" w:type="dxa"/>
              <w:bottom w:w="65" w:type="dxa"/>
              <w:left w:w="95" w:type="dxa"/>
              <w:right w:w="95" w:type="dxa"/>
            </w:tcMar>
          </w:tcPr>
          <w:p>
            <w:pPr>
              <w:spacing w:line="254" w:lineRule="auto" w:after="40" w:before="40"/>
            </w:pPr>
            <w:r>
              <w:rPr>
                <w:sz w:val="21"/>
              </w:rPr>
              <w:t>Editing-aware level measurements</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Channel after inserts before fader</w:t>
            </w:r>
          </w:p>
        </w:tc>
        <w:tc>
          <w:tcPr>
            <w:tcW w:type="dxa" w:w="7949"/>
            <w:vAlign w:val="center"/>
            <w:shd w:fill="F2F5F8"/>
            <w:tcMar>
              <w:top w:w="65" w:type="dxa"/>
              <w:bottom w:w="65" w:type="dxa"/>
              <w:left w:w="95" w:type="dxa"/>
              <w:right w:w="95" w:type="dxa"/>
            </w:tcMar>
          </w:tcPr>
          <w:p>
            <w:pPr>
              <w:spacing w:line="254" w:lineRule="auto" w:after="40" w:before="40"/>
            </w:pPr>
            <w:r>
              <w:rPr>
                <w:sz w:val="21"/>
              </w:rPr>
              <w:t>Processor-chain evaluation</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Channel output after fader</w:t>
            </w:r>
          </w:p>
        </w:tc>
        <w:tc>
          <w:tcPr>
            <w:tcW w:type="dxa" w:w="7949"/>
            <w:vAlign w:val="center"/>
            <w:shd w:fill="FFFFFF"/>
            <w:tcMar>
              <w:top w:w="65" w:type="dxa"/>
              <w:bottom w:w="65" w:type="dxa"/>
              <w:left w:w="95" w:type="dxa"/>
              <w:right w:w="95" w:type="dxa"/>
            </w:tcMar>
          </w:tcPr>
          <w:p>
            <w:pPr>
              <w:spacing w:line="254" w:lineRule="auto" w:after="40" w:before="40"/>
            </w:pPr>
            <w:r>
              <w:rPr>
                <w:sz w:val="21"/>
              </w:rPr>
              <w:t>Vocal contribution to the mix</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Frozen backing or master render</w:t>
            </w:r>
          </w:p>
        </w:tc>
        <w:tc>
          <w:tcPr>
            <w:tcW w:type="dxa" w:w="7949"/>
            <w:vAlign w:val="center"/>
            <w:shd w:fill="F2F5F8"/>
            <w:tcMar>
              <w:top w:w="65" w:type="dxa"/>
              <w:bottom w:w="65" w:type="dxa"/>
              <w:left w:w="95" w:type="dxa"/>
              <w:right w:w="95" w:type="dxa"/>
            </w:tcMar>
          </w:tcPr>
          <w:p>
            <w:pPr>
              <w:spacing w:line="254" w:lineRule="auto" w:after="40" w:before="40"/>
            </w:pPr>
            <w:r>
              <w:rPr>
                <w:sz w:val="21"/>
              </w:rPr>
              <w:t>Contextual balance and comparison measurements</w:t>
            </w:r>
          </w:p>
        </w:tc>
      </w:tr>
    </w:tbl>
    <w:p>
      <w:pPr>
        <w:spacing w:after="40" w:before="0" w:line="240" w:lineRule="auto"/>
      </w:pPr>
      <w:r>
        <w:rPr>
          <w:sz w:val="4"/>
        </w:rPr>
      </w:r>
    </w:p>
    <w:p>
      <w:r>
        <w:t>The analyser receives immutable PCM or an immutable render asset through a controlled broker. The LLM receives structured summaries and IDs, not arbitrary filesystem access. Analysis must use a coherent snapshot across tracks.</w:t>
      </w:r>
    </w:p>
    <w:p>
      <w:pPr>
        <w:pStyle w:val="Heading2"/>
      </w:pPr>
      <w:r>
        <w:t>8.3 Output and confidence</w:t>
      </w:r>
    </w:p>
    <w:p>
      <w:r>
        <w:t>An AnalysisResult contains the request identity, input fingerprint, algorithm and model versions, completion state, time-aligned measurements, units, validity masks, confidence semantics, limitations and relevant evidence locations.</w:t>
      </w:r>
    </w:p>
    <w:p>
      <w:r>
        <w:t>Separate voicing confidence, F0 confidence, note-segmentation confidence and reference-alignment confidence. An uncalibrated model score must not be displayed as a probability of correctness. Thresholds and confidence labels are fixed using validation data before holdout evaluation.</w:t>
      </w:r>
    </w:p>
    <w:p>
      <w:r>
        <w:t>Pitch stability, drift and reference error are descriptive measurements. Breathy or unvoiced sections can be uncertain without being poor singing. Noise estimates identify the analysed region and assumptions; the system must not infer a noise floor from arbitrary vocal gaps without qualification.</w:t>
      </w:r>
    </w:p>
    <w:p>
      <w:pPr>
        <w:pStyle w:val="Heading2"/>
      </w:pPr>
      <w:r>
        <w:t>8.4 Invalidation and retention</w:t>
      </w:r>
    </w:p>
    <w:p>
      <w:r>
        <w:t>Cache by source content, analysed range, signal dependencies, algorithm version and settings. Changing the dry source invalidates its analysis. Changing an insert invalidates dependent processed-signal measurements but can retain unchanged dry-source F0. Changing Sa changes the reference mapping; it need not rerun F0 extraction.</w:t>
      </w:r>
    </w:p>
    <w:p>
      <w:r>
        <w:t>Show stale annotations and prevent their use as current execution evidence. Keep enough provenance to rerun an analysis after cache deletion. Preserve continuous F0 even if the user changes note segmentation.</w:t>
      </w:r>
    </w:p>
    <w:p>
      <w:pPr>
        <w:pStyle w:val="Heading1"/>
      </w:pPr>
      <w:r>
        <w:t>9 Processing and audition contract</w:t>
      </w:r>
    </w:p>
    <w:p>
      <w:pPr>
        <w:pStyle w:val="Heading2"/>
      </w:pPr>
      <w:r>
        <w:t>9.1 Qualified processor manifest</w:t>
      </w:r>
    </w:p>
    <w:p>
      <w:r>
        <w:t>Each supported processor must have a tested mapping from user-facing controls to actual engine parameters, including units, legal ranges, normalisation, bypass state, order, automation behaviour and version. Do not infer parameter meaning from its index or label alone.</w:t>
      </w:r>
    </w:p>
    <w:p>
      <w:r>
        <w:t>Test EQ response and compressor level response using known signals, plus vocal listening tests. The associated production policy declares the supported goals, diagnostic feature versions, exact parameter-selection rules and abstention conditions. Keep policy versions separate from DSP versions. Qualification is against declared behaviour; matching proprietary processors is not a requirement.</w:t>
      </w:r>
    </w:p>
    <w:p>
      <w:pPr>
        <w:pStyle w:val="Heading2"/>
      </w:pPr>
      <w:r>
        <w:t>9.2 Candidate rendering</w:t>
      </w:r>
    </w:p>
    <w:p>
      <w:r>
        <w:t>Render the original and candidate from the same immutable source and session snapshot. Use the same sample rate, processing implementation and output range. Record any warm-up or effect-tail extension separately from the selected comparison region.</w:t>
      </w:r>
    </w:p>
    <w:p>
      <w:r>
        <w:t>The candidate must contain only approved-scope differences. Existing unrelated processing remains part of context; unqualified or non-reproducible processing in the required render path makes the audition workflow unavailable with a clear explanation.</w:t>
      </w:r>
    </w:p>
    <w:p>
      <w:r>
        <w:t>Use a declared, versioned loudness measurement method for comparison. For short or near-silent regions where reliable matching is unavailable, show that limitation and permit manual matching. Do not manufacture a loudness value.</w:t>
      </w:r>
    </w:p>
    <w:p>
      <w:pPr>
        <w:pStyle w:val="Heading2"/>
      </w:pPr>
      <w:r>
        <w:t>9.3 Commitment and reproducibility</w:t>
      </w:r>
    </w:p>
    <w:p>
      <w:r>
        <w:t>Keep publishes the reviewed parameter change set, not a new LLM interpretation and not a duplicate processed clip layered over the original. The commit receipt links to the exact auditioned candidate.</w:t>
      </w:r>
    </w:p>
    <w:p>
      <w:r>
        <w:t>For the same build, input, initial DSP state, block configuration and qualified processors, repeated renders of the same candidate must meet G05. This null comparison is not a comparison between the processed candidate and the original. Report peak residual and RMS residual separately; a peak amplitude of 0.000001 full scale is minus 120 dBFS. An RMS threshold cannot silently replace the peak limit.</w:t>
      </w:r>
    </w:p>
    <w:p>
      <w:r>
        <w:t>Versioned production rules produce repeatable parameter plans. Model wording need not be identical. Inspect and test summation order, processor initial state and any randomised processing rather than assuming parallel execution is nondeterministic. The pinned mixer renders independent strips in parallel and routes their results sequentially; this observation is a useful implementation basis, not a passed fidelity test. [S12]</w:t>
      </w:r>
    </w:p>
    <w:p>
      <w:pPr>
        <w:pStyle w:val="Heading1"/>
      </w:pPr>
      <w:r>
        <w:t>10 Architecture and integration</w:t>
      </w:r>
    </w:p>
    <w:p>
      <w:pPr>
        <w:pStyle w:val="Heading2"/>
      </w:pPr>
      <w:r>
        <w:t>10.1 Component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7949"/>
      </w:tblGrid>
      <w:tr>
        <w:trPr>
          <w:cantSplit/>
          <w:tblHeader/>
        </w:trPr>
        <w:tc>
          <w:tcPr>
            <w:tcW w:type="dxa" w:w="2131"/>
            <w:vAlign w:val="center"/>
            <w:shd w:fill="243B53"/>
            <w:tcMar>
              <w:top w:w="65" w:type="dxa"/>
              <w:bottom w:w="65" w:type="dxa"/>
              <w:left w:w="95" w:type="dxa"/>
              <w:right w:w="95" w:type="dxa"/>
            </w:tcMar>
          </w:tcPr>
          <w:p>
            <w:pPr>
              <w:spacing w:line="254" w:lineRule="auto" w:after="40" w:before="40"/>
            </w:pPr>
            <w:r>
              <w:rPr>
                <w:b/>
                <w:color w:val="FFFFFF"/>
                <w:sz w:val="21"/>
              </w:rPr>
              <w:t>Component</w:t>
            </w:r>
          </w:p>
        </w:tc>
        <w:tc>
          <w:tcPr>
            <w:tcW w:type="dxa" w:w="7949"/>
            <w:vAlign w:val="center"/>
            <w:shd w:fill="243B53"/>
            <w:tcMar>
              <w:top w:w="65" w:type="dxa"/>
              <w:bottom w:w="65" w:type="dxa"/>
              <w:left w:w="95" w:type="dxa"/>
              <w:right w:w="95" w:type="dxa"/>
            </w:tcMar>
          </w:tcPr>
          <w:p>
            <w:pPr>
              <w:spacing w:line="254" w:lineRule="auto" w:after="40" w:before="40"/>
            </w:pPr>
            <w:r>
              <w:rPr>
                <w:b/>
                <w:color w:val="FFFFFF"/>
                <w:sz w:val="21"/>
              </w:rPr>
              <w:t>Responsibility</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SoundCraft engine in Rust</w:t>
            </w:r>
          </w:p>
        </w:tc>
        <w:tc>
          <w:tcPr>
            <w:tcW w:type="dxa" w:w="7949"/>
            <w:vAlign w:val="center"/>
            <w:shd w:fill="F2F5F8"/>
            <w:tcMar>
              <w:top w:w="65" w:type="dxa"/>
              <w:bottom w:w="65" w:type="dxa"/>
              <w:left w:w="95" w:type="dxa"/>
              <w:right w:w="95" w:type="dxa"/>
            </w:tcMar>
          </w:tcPr>
          <w:p>
            <w:pPr>
              <w:spacing w:line="254" w:lineRule="auto" w:after="40" w:before="40"/>
            </w:pPr>
            <w:r>
              <w:rPr>
                <w:sz w:val="21"/>
              </w:rPr>
              <w:t>Authoritative session state, native commands, processing, transport and grouped publication</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Execution controller</w:t>
            </w:r>
          </w:p>
        </w:tc>
        <w:tc>
          <w:tcPr>
            <w:tcW w:type="dxa" w:w="7949"/>
            <w:vAlign w:val="center"/>
            <w:shd w:fill="FFFFFF"/>
            <w:tcMar>
              <w:top w:w="65" w:type="dxa"/>
              <w:bottom w:w="65" w:type="dxa"/>
              <w:left w:w="95" w:type="dxa"/>
              <w:right w:w="95" w:type="dxa"/>
            </w:tcMar>
          </w:tcPr>
          <w:p>
            <w:pPr>
              <w:spacing w:line="254" w:lineRule="auto" w:after="40" w:before="40"/>
            </w:pPr>
            <w:r>
              <w:rPr>
                <w:sz w:val="21"/>
              </w:rPr>
              <w:t>Plan validation, approval binding, journal, preconditions, bounded execution and reconciliation</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Audio broker and workers</w:t>
            </w:r>
          </w:p>
        </w:tc>
        <w:tc>
          <w:tcPr>
            <w:tcW w:type="dxa" w:w="7949"/>
            <w:vAlign w:val="center"/>
            <w:shd w:fill="F2F5F8"/>
            <w:tcMar>
              <w:top w:w="65" w:type="dxa"/>
              <w:bottom w:w="65" w:type="dxa"/>
              <w:left w:w="95" w:type="dxa"/>
              <w:right w:w="95" w:type="dxa"/>
            </w:tcMar>
          </w:tcPr>
          <w:p>
            <w:pPr>
              <w:spacing w:line="254" w:lineRule="auto" w:after="40" w:before="40"/>
            </w:pPr>
            <w:r>
              <w:rPr>
                <w:sz w:val="21"/>
              </w:rPr>
              <w:t>Snapshot extraction, PCM delivery, DSP and pitch analysis, caching and cancellation</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Production policy</w:t>
            </w:r>
          </w:p>
        </w:tc>
        <w:tc>
          <w:tcPr>
            <w:tcW w:type="dxa" w:w="7949"/>
            <w:vAlign w:val="center"/>
            <w:shd w:fill="FFFFFF"/>
            <w:tcMar>
              <w:top w:w="65" w:type="dxa"/>
              <w:bottom w:w="65" w:type="dxa"/>
              <w:left w:w="95" w:type="dxa"/>
              <w:right w:w="95" w:type="dxa"/>
            </w:tcMar>
          </w:tcPr>
          <w:p>
            <w:pPr>
              <w:spacing w:line="254" w:lineRule="auto" w:after="40" w:before="40"/>
            </w:pPr>
            <w:r>
              <w:rPr>
                <w:sz w:val="21"/>
              </w:rPr>
              <w:t>Local goal-to-parameter rules, applicability checks, bounds, deterministic proposal and provenance</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Model adapter</w:t>
            </w:r>
          </w:p>
        </w:tc>
        <w:tc>
          <w:tcPr>
            <w:tcW w:type="dxa" w:w="7949"/>
            <w:vAlign w:val="center"/>
            <w:shd w:fill="F2F5F8"/>
            <w:tcMar>
              <w:top w:w="65" w:type="dxa"/>
              <w:bottom w:w="65" w:type="dxa"/>
              <w:left w:w="95" w:type="dxa"/>
              <w:right w:w="95" w:type="dxa"/>
            </w:tcMar>
          </w:tcPr>
          <w:p>
            <w:pPr>
              <w:spacing w:line="254" w:lineRule="auto" w:after="40" w:before="40"/>
            </w:pPr>
            <w:r>
              <w:rPr>
                <w:sz w:val="21"/>
              </w:rPr>
              <w:t>Bounded intent-to-goal mapping, clarification and explanations grounded in supplied evidence</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Review interface</w:t>
            </w:r>
          </w:p>
        </w:tc>
        <w:tc>
          <w:tcPr>
            <w:tcW w:type="dxa" w:w="7949"/>
            <w:vAlign w:val="center"/>
            <w:shd w:fill="FFFFFF"/>
            <w:tcMar>
              <w:top w:w="65" w:type="dxa"/>
              <w:bottom w:w="65" w:type="dxa"/>
              <w:left w:w="95" w:type="dxa"/>
              <w:right w:w="95" w:type="dxa"/>
            </w:tcMar>
          </w:tcPr>
          <w:p>
            <w:pPr>
              <w:spacing w:line="254" w:lineRule="auto" w:after="40" w:before="40"/>
            </w:pPr>
            <w:r>
              <w:rPr>
                <w:sz w:val="21"/>
              </w:rPr>
              <w:t>Selection context, pitch display, plans, audition and history</w:t>
            </w:r>
          </w:p>
        </w:tc>
      </w:tr>
    </w:tbl>
    <w:p>
      <w:pPr>
        <w:spacing w:after="40" w:before="0" w:line="240" w:lineRule="auto"/>
      </w:pPr>
      <w:r>
        <w:rPr>
          <w:sz w:val="4"/>
        </w:rPr>
      </w:r>
    </w:p>
    <w:p>
      <w:r>
        <w:t>Use a thin integration layer in SoundCraft and a local companion process for analysis and orchestration initially. Keep provider-specific logic outside the engine. The execution controller is the single owner of task state; no separate overlapping workflow service is required.</w:t>
      </w:r>
    </w:p>
    <w:p>
      <w:r>
        <w:t>Reuse the existing command interface, disk recorder, revision facilities and copy-on-write history through a tested adapter. Restrict engine changes to identified gaps such as exposed preconditions, protected IPC, safe grouped publication and required device controls. Keep generic repairs in small separate commits suitable for upstream contribution; external acceptance must not become a delivery dependency.</w:t>
      </w:r>
    </w:p>
    <w:p>
      <w:pPr>
        <w:pStyle w:val="Heading2"/>
      </w:pPr>
      <w:r>
        <w:t>10.2 Local interface protection</w:t>
      </w:r>
    </w:p>
    <w:p>
      <w:r>
        <w:t>The assistant exposes only allowlisted operations to the model. UI click injection, arbitrary engine execution, shell commands and unrestricted file reads are not model tools.</w:t>
      </w:r>
    </w:p>
    <w:p>
      <w:r>
        <w:t>Use authenticated local IPC scoped to the launched session. The upstream loopback control channel is a transport, not an authorisation boundary. The inspected server does not authenticate requests; a session token or equivalent protected endpoint is a qualification requirement before exposing the assistant mutation path. Bind credentials and endpoint lifecycle to the launched session. [S3, S16]</w:t>
      </w:r>
    </w:p>
    <w:p>
      <w:r>
        <w:t>Treat filenames, track labels, metadata, imported text and model responses as untrusted data. They cannot grant approval, widen scope, alter policy or request external destinations. Validate both schema and domain constraints.</w:t>
      </w:r>
    </w:p>
    <w:p>
      <w:pPr>
        <w:pStyle w:val="Heading2"/>
      </w:pPr>
      <w:r>
        <w:t>10.3 Packaging and project persistence</w:t>
      </w:r>
    </w:p>
    <w:p>
      <w:r>
        <w:t>Package companion dependencies with the application so users do not install a Python environment manually. Record model checksums, model licences and runtime versions. The worker language and first model implementation are Phase 0 decisions based on quality, memory, packaging and licence checks.</w:t>
      </w:r>
    </w:p>
    <w:p>
      <w:r>
        <w:t>Store AI provenance and recovery metadata alongside the project using a versioned extension or sidecar. Core audio assets and saved musical state must remain usable with AI disabled. Reject unsupported metadata versions safely and preserve their bytes. Reopening an older compatible project must not silently discard processing or history.</w:t>
      </w:r>
    </w:p>
    <w:p>
      <w:pPr>
        <w:pStyle w:val="Heading1"/>
      </w:pPr>
      <w:r>
        <w:t>11 Privacy performance and operating limits</w:t>
      </w:r>
    </w:p>
    <w:p>
      <w:pPr>
        <w:pStyle w:val="Heading2"/>
      </w:pPr>
      <w:r>
        <w:t>11.1 Local operation and cloud boundaries</w:t>
      </w:r>
    </w:p>
    <w:p>
      <w:r>
        <w:t>Recording, playback, save, export, pitch measurement, diagnostics and the complete local goal-to-parameter policy work without cloud inference after required assets are installed. The natural-language assistant can be unavailable when cloud inference is disabled; equivalent supported goal controls remain available. A local LLM is optional later work, not an unfulfilled first-release promise.</w:t>
      </w:r>
    </w:p>
    <w:p>
      <w:r>
        <w:t>The first cloud path is text only and opt in. No raw audio, reference recordings, full project files or automatic lyric transcripts are transmitted. Send only the minimum approved request and structured summaries, using pseudonymous track IDs by default. Disclose any user-entered text sent to the provider.</w:t>
      </w:r>
    </w:p>
    <w:p>
      <w:r>
        <w:t>Show provider identity, endpoint, data categories and current retention terms before enabling it. Credentials belong in macOS secure storage. Do not imply that bringing an API key eliminates provider charges or data-retention concerns.</w:t>
      </w:r>
    </w:p>
    <w:p>
      <w:r>
        <w:t>Task logs remain local by default and exclude credentials and raw audio. Users can delete chat and analysis records, with a clear explanation of any resulting loss of provenance. Crash reports are opt in and previewable; paths and request contents are redacted by default.</w:t>
      </w:r>
    </w:p>
    <w:p>
      <w:pPr>
        <w:pStyle w:val="Heading2"/>
      </w:pPr>
      <w:r>
        <w:t>11.2 Bounds and cancellation</w:t>
      </w:r>
    </w:p>
    <w:p>
      <w:r>
        <w:t>Initial controller limits are 16 mutating operations per plan, 3 model calls per user task, one transient retry per call within that total, and a 120-second model-task deadline. A model call has a 30-second timeout. Validation failures stop the task rather than creating an unlimited repair loop.</w:t>
      </w:r>
    </w:p>
    <w:p>
      <w:r>
        <w:t>The user sets a currency-denominated task or daily cloud budget before first cloud use. The controller estimates a conservative upper bound using configured rates and maximum tokens. Missing or stale rates block automatic continuation. Provider usage is recorded and reconciled; the app does not promise to cap charges created outside it.</w:t>
      </w:r>
    </w:p>
    <w:p>
      <w:r>
        <w:t>Allow one heavy audio-analysis or candidate-render job at a time by default. Suspend heavy jobs when recording begins. Worker concurrency and memory limits must be enforced and verified on the reference host.</w:t>
      </w:r>
    </w:p>
    <w:p>
      <w:pPr>
        <w:pStyle w:val="Heading2"/>
      </w:pPr>
      <w:r>
        <w:t>11.3 Proposed responsiveness targets</w:t>
      </w:r>
    </w:p>
    <w:p>
      <w:r>
        <w:t>On the reference host, local UI acknowledgement has a p95 of at most 200 ms. Job cancellation is acknowledged within 500 ms and a cancellable worker stops within 2 seconds. Atomic publication follows section 7.</w:t>
      </w:r>
    </w:p>
    <w:p>
      <w:r>
        <w:t>After model loading, a 60-second dry-vocal pitch job completes within 30 seconds at p95. A 60-second qualified candidate renders within 60 seconds at p95. Cold model load is reported separately and must complete within 20 seconds after assets are installed. The combined companion and analysis-worker resident memory budget is 2 GiB.</w:t>
      </w:r>
    </w:p>
    <w:p>
      <w:pPr>
        <w:pStyle w:val="Heading1"/>
      </w:pPr>
      <w:r>
        <w:t>12 Acceptance and evaluation</w:t>
      </w:r>
    </w:p>
    <w:p>
      <w:pPr>
        <w:pStyle w:val="Heading2"/>
      </w:pPr>
      <w:r>
        <w:t>12.1 Gate policy</w:t>
      </w:r>
    </w:p>
    <w:p>
      <w:r>
        <w:t>G00 is an early product decision gate. G01 to G13 are qualification gates for the supported early-access workflow. The software-monitoring extension G02-SW is mandatory only if that mode is advertised as qualified. Integrity failures cannot be averaged away by overall task-success percentages. A changed threshold requires a versioned amendment before a fresh evaluation; holdout results must not be used to silently tune the pass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shd w:fill="243B53"/>
            <w:tcMar>
              <w:top w:w="65" w:type="dxa"/>
              <w:bottom w:w="65" w:type="dxa"/>
              <w:left w:w="95" w:type="dxa"/>
              <w:right w:w="95" w:type="dxa"/>
            </w:tcMar>
          </w:tcPr>
          <w:p>
            <w:pPr>
              <w:spacing w:line="254" w:lineRule="auto" w:after="40" w:before="40"/>
            </w:pPr>
            <w:r>
              <w:rPr>
                <w:b/>
                <w:color w:val="FFFFFF"/>
                <w:sz w:val="21"/>
              </w:rPr>
              <w:t>Gate</w:t>
            </w:r>
          </w:p>
        </w:tc>
        <w:tc>
          <w:tcPr>
            <w:tcW w:type="dxa" w:w="7848"/>
            <w:vAlign w:val="center"/>
            <w:shd w:fill="243B53"/>
            <w:tcMar>
              <w:top w:w="65" w:type="dxa"/>
              <w:bottom w:w="65" w:type="dxa"/>
              <w:left w:w="95" w:type="dxa"/>
              <w:right w:w="95" w:type="dxa"/>
            </w:tcMar>
          </w:tcPr>
          <w:p>
            <w:pPr>
              <w:spacing w:line="254" w:lineRule="auto" w:after="40" w:before="40"/>
            </w:pPr>
            <w:r>
              <w:rPr>
                <w:b/>
                <w:color w:val="FFFFFF"/>
                <w:sz w:val="21"/>
              </w:rPr>
              <w:t>Pass requirement</w:t>
            </w:r>
          </w:p>
        </w:tc>
      </w:tr>
      <w:tr>
        <w:trPr>
          <w:cantSplit/>
        </w:trPr>
        <w:tc>
          <w:tcPr>
            <w:tcW w:type="dxa" w:w="2232"/>
            <w:vAlign w:val="center"/>
            <w:shd w:fill="F2F5F8"/>
            <w:tcMar>
              <w:top w:w="65" w:type="dxa"/>
              <w:bottom w:w="65" w:type="dxa"/>
              <w:left w:w="95" w:type="dxa"/>
              <w:right w:w="95" w:type="dxa"/>
            </w:tcMar>
          </w:tcPr>
          <w:p>
            <w:pPr>
              <w:spacing w:line="254" w:lineRule="auto" w:after="40" w:before="40"/>
            </w:pPr>
            <w:r>
              <w:rPr>
                <w:sz w:val="21"/>
              </w:rPr>
              <w:t>G00 Early usefulness</w:t>
            </w:r>
          </w:p>
        </w:tc>
        <w:tc>
          <w:tcPr>
            <w:tcW w:type="dxa" w:w="7848"/>
            <w:vAlign w:val="center"/>
            <w:shd w:fill="F2F5F8"/>
            <w:tcMar>
              <w:top w:w="65" w:type="dxa"/>
              <w:bottom w:w="65" w:type="dxa"/>
              <w:left w:w="95" w:type="dxa"/>
              <w:right w:w="95" w:type="dxa"/>
            </w:tcMar>
          </w:tcPr>
          <w:p>
            <w:pPr>
              <w:spacing w:line="254" w:lineRule="auto" w:after="40" w:before="40"/>
            </w:pPr>
            <w:r>
              <w:rPr>
                <w:sz w:val="21"/>
              </w:rPr>
              <w:t>Complete the 6 to 8 participant discovery protocol and meet its predeclared comprehension, preference and return-use thresholds in section 12.4</w:t>
            </w:r>
          </w:p>
        </w:tc>
      </w:tr>
      <w:tr>
        <w:trPr>
          <w:cantSplit/>
        </w:trPr>
        <w:tc>
          <w:tcPr>
            <w:tcW w:type="dxa" w:w="2232"/>
            <w:vAlign w:val="center"/>
            <w:shd w:fill="FFFFFF"/>
            <w:tcMar>
              <w:top w:w="65" w:type="dxa"/>
              <w:bottom w:w="65" w:type="dxa"/>
              <w:left w:w="95" w:type="dxa"/>
              <w:right w:w="95" w:type="dxa"/>
            </w:tcMar>
          </w:tcPr>
          <w:p>
            <w:pPr>
              <w:spacing w:line="254" w:lineRule="auto" w:after="40" w:before="40"/>
            </w:pPr>
            <w:r>
              <w:rPr>
                <w:sz w:val="21"/>
              </w:rPr>
              <w:t>G01 Import and persistence</w:t>
            </w:r>
          </w:p>
        </w:tc>
        <w:tc>
          <w:tcPr>
            <w:tcW w:type="dxa" w:w="7848"/>
            <w:vAlign w:val="center"/>
            <w:shd w:fill="FFFFFF"/>
            <w:tcMar>
              <w:top w:w="65" w:type="dxa"/>
              <w:bottom w:w="65" w:type="dxa"/>
              <w:left w:w="95" w:type="dxa"/>
              <w:right w:w="95" w:type="dxa"/>
            </w:tcMar>
          </w:tcPr>
          <w:p>
            <w:pPr>
              <w:spacing w:line="254" w:lineRule="auto" w:after="40" w:before="40"/>
            </w:pPr>
            <w:r>
              <w:rPr>
                <w:sz w:val="21"/>
              </w:rPr>
              <w:t>Qualified WAV and backing MP3/AAC fixtures retain intended duration, timeline alignment and channel mapping; 100 save/reopen cycles preserve musical state and source fingerprints</w:t>
            </w:r>
          </w:p>
        </w:tc>
      </w:tr>
      <w:tr>
        <w:trPr>
          <w:cantSplit/>
        </w:trPr>
        <w:tc>
          <w:tcPr>
            <w:tcW w:type="dxa" w:w="2232"/>
            <w:vAlign w:val="center"/>
            <w:shd w:fill="F2F5F8"/>
            <w:tcMar>
              <w:top w:w="65" w:type="dxa"/>
              <w:bottom w:w="65" w:type="dxa"/>
              <w:left w:w="95" w:type="dxa"/>
              <w:right w:w="95" w:type="dxa"/>
            </w:tcMar>
          </w:tcPr>
          <w:p>
            <w:pPr>
              <w:spacing w:line="254" w:lineRule="auto" w:after="40" w:before="40"/>
            </w:pPr>
            <w:r>
              <w:rPr>
                <w:sz w:val="21"/>
              </w:rPr>
              <w:t>G02 Recording</w:t>
            </w:r>
          </w:p>
        </w:tc>
        <w:tc>
          <w:tcPr>
            <w:tcW w:type="dxa" w:w="7848"/>
            <w:vAlign w:val="center"/>
            <w:shd w:fill="F2F5F8"/>
            <w:tcMar>
              <w:top w:w="65" w:type="dxa"/>
              <w:bottom w:w="65" w:type="dxa"/>
              <w:left w:w="95" w:type="dxa"/>
              <w:right w:w="95" w:type="dxa"/>
            </w:tcMar>
          </w:tcPr>
          <w:p>
            <w:pPr>
              <w:spacing w:line="254" w:lineRule="auto" w:after="40" w:before="40"/>
            </w:pPr>
            <w:r>
              <w:rPr>
                <w:sz w:val="21"/>
              </w:rPr>
              <w:t>Three 30-minute runs at each supported sample rate and declared configuration; zero detected dropouts; device/input selection works; compensated alignment error and accumulated drift each within 2 ms; declared direct-monitor mode verified</w:t>
            </w:r>
          </w:p>
        </w:tc>
      </w:tr>
      <w:tr>
        <w:trPr>
          <w:cantSplit/>
        </w:trPr>
        <w:tc>
          <w:tcPr>
            <w:tcW w:type="dxa" w:w="2232"/>
            <w:vAlign w:val="center"/>
            <w:shd w:fill="FFFFFF"/>
            <w:tcMar>
              <w:top w:w="65" w:type="dxa"/>
              <w:bottom w:w="65" w:type="dxa"/>
              <w:left w:w="95" w:type="dxa"/>
              <w:right w:w="95" w:type="dxa"/>
            </w:tcMar>
          </w:tcPr>
          <w:p>
            <w:pPr>
              <w:spacing w:line="254" w:lineRule="auto" w:after="40" w:before="40"/>
            </w:pPr>
            <w:r>
              <w:rPr>
                <w:sz w:val="21"/>
              </w:rPr>
              <w:t>G03 Intent and targeting</w:t>
            </w:r>
          </w:p>
        </w:tc>
        <w:tc>
          <w:tcPr>
            <w:tcW w:type="dxa" w:w="7848"/>
            <w:vAlign w:val="center"/>
            <w:shd w:fill="FFFFFF"/>
            <w:tcMar>
              <w:top w:w="65" w:type="dxa"/>
              <w:bottom w:w="65" w:type="dxa"/>
              <w:left w:w="95" w:type="dxa"/>
              <w:right w:w="95" w:type="dxa"/>
            </w:tcMar>
          </w:tcPr>
          <w:p>
            <w:pPr>
              <w:spacing w:line="254" w:lineRule="auto" w:after="40" w:before="40"/>
            </w:pPr>
            <w:r>
              <w:rPr>
                <w:sz w:val="21"/>
              </w:rPr>
              <w:t>At least 200 locked prompts across valid, ambiguous and unsupported cases; at least 98 percent correct end-to-end outcomes; zero wrong-target or unapproved mutations; defined unsafe or ambiguous cases handled safely</w:t>
            </w:r>
          </w:p>
        </w:tc>
      </w:tr>
      <w:tr>
        <w:trPr>
          <w:cantSplit/>
        </w:trPr>
        <w:tc>
          <w:tcPr>
            <w:tcW w:type="dxa" w:w="2232"/>
            <w:vAlign w:val="center"/>
            <w:shd w:fill="F2F5F8"/>
            <w:tcMar>
              <w:top w:w="65" w:type="dxa"/>
              <w:bottom w:w="65" w:type="dxa"/>
              <w:left w:w="95" w:type="dxa"/>
              <w:right w:w="95" w:type="dxa"/>
            </w:tcMar>
          </w:tcPr>
          <w:p>
            <w:pPr>
              <w:spacing w:line="254" w:lineRule="auto" w:after="40" w:before="40"/>
            </w:pPr>
            <w:r>
              <w:rPr>
                <w:sz w:val="21"/>
              </w:rPr>
              <w:t>G04 Execution safety</w:t>
            </w:r>
          </w:p>
        </w:tc>
        <w:tc>
          <w:tcPr>
            <w:tcW w:type="dxa" w:w="7848"/>
            <w:vAlign w:val="center"/>
            <w:shd w:fill="F2F5F8"/>
            <w:tcMar>
              <w:top w:w="65" w:type="dxa"/>
              <w:bottom w:w="65" w:type="dxa"/>
              <w:left w:w="95" w:type="dxa"/>
              <w:right w:w="95" w:type="dxa"/>
            </w:tcMar>
          </w:tcPr>
          <w:p>
            <w:pPr>
              <w:spacing w:line="254" w:lineRule="auto" w:after="40" w:before="40"/>
            </w:pPr>
            <w:r>
              <w:rPr>
                <w:sz w:val="21"/>
              </w:rPr>
              <w:t>Every admitted operation passes stale-revision, duplicate-request, lost-response, concurrent-edit, cancellation and failed-staging cases; no partial publication or loss of unrelated work</w:t>
            </w:r>
          </w:p>
        </w:tc>
      </w:tr>
      <w:tr>
        <w:trPr>
          <w:cantSplit/>
        </w:trPr>
        <w:tc>
          <w:tcPr>
            <w:tcW w:type="dxa" w:w="2232"/>
            <w:vAlign w:val="center"/>
            <w:shd w:fill="FFFFFF"/>
            <w:tcMar>
              <w:top w:w="65" w:type="dxa"/>
              <w:bottom w:w="65" w:type="dxa"/>
              <w:left w:w="95" w:type="dxa"/>
              <w:right w:w="95" w:type="dxa"/>
            </w:tcMar>
          </w:tcPr>
          <w:p>
            <w:pPr>
              <w:spacing w:line="254" w:lineRule="auto" w:after="40" w:before="40"/>
            </w:pPr>
            <w:r>
              <w:rPr>
                <w:sz w:val="21"/>
              </w:rPr>
              <w:t>G05 Render fidelity</w:t>
            </w:r>
          </w:p>
        </w:tc>
        <w:tc>
          <w:tcPr>
            <w:tcW w:type="dxa" w:w="7848"/>
            <w:vAlign w:val="center"/>
            <w:shd w:fill="FFFFFF"/>
            <w:tcMar>
              <w:top w:w="65" w:type="dxa"/>
              <w:bottom w:w="65" w:type="dxa"/>
              <w:left w:w="95" w:type="dxa"/>
              <w:right w:w="95" w:type="dxa"/>
            </w:tcMar>
          </w:tcPr>
          <w:p>
            <w:pPr>
              <w:spacing w:line="254" w:lineRule="auto" w:after="40" w:before="40"/>
            </w:pPr>
            <w:r>
              <w:rPr>
                <w:sz w:val="21"/>
              </w:rPr>
              <w:t>Candidate and original timing aligned within one sample after declared compensation; repeated renders of the same candidate have maximum absolute PCM residual at most 0.000001 full scale; report RMS residual too; no non-finite samples</w:t>
            </w:r>
          </w:p>
        </w:tc>
      </w:tr>
      <w:tr>
        <w:trPr>
          <w:cantSplit/>
        </w:trPr>
        <w:tc>
          <w:tcPr>
            <w:tcW w:type="dxa" w:w="2232"/>
            <w:vAlign w:val="center"/>
            <w:shd w:fill="F2F5F8"/>
            <w:tcMar>
              <w:top w:w="65" w:type="dxa"/>
              <w:bottom w:w="65" w:type="dxa"/>
              <w:left w:w="95" w:type="dxa"/>
              <w:right w:w="95" w:type="dxa"/>
            </w:tcMar>
          </w:tcPr>
          <w:p>
            <w:pPr>
              <w:spacing w:line="254" w:lineRule="auto" w:after="40" w:before="40"/>
            </w:pPr>
            <w:r>
              <w:rPr>
                <w:sz w:val="21"/>
              </w:rPr>
              <w:t>G06 Pitch accuracy</w:t>
            </w:r>
          </w:p>
        </w:tc>
        <w:tc>
          <w:tcPr>
            <w:tcW w:type="dxa" w:w="7848"/>
            <w:vAlign w:val="center"/>
            <w:shd w:fill="F2F5F8"/>
            <w:tcMar>
              <w:top w:w="65" w:type="dxa"/>
              <w:bottom w:w="65" w:type="dxa"/>
              <w:left w:w="95" w:type="dxa"/>
              <w:right w:w="95" w:type="dxa"/>
            </w:tcMar>
          </w:tcPr>
          <w:p>
            <w:pPr>
              <w:spacing w:line="254" w:lineRule="auto" w:after="40" w:before="40"/>
            </w:pPr>
            <w:r>
              <w:rPr>
                <w:sz w:val="21"/>
              </w:rPr>
              <w:t>Held-out natural vocals: at least 90 percent of reference-voiced frames returned within 50 cents; median error on jointly voiced frames at most 15 cents; octave errors at most 1 percent; each named condition reaches 85 percent on the 50-cent score</w:t>
            </w:r>
          </w:p>
        </w:tc>
      </w:tr>
      <w:tr>
        <w:trPr>
          <w:cantSplit/>
        </w:trPr>
        <w:tc>
          <w:tcPr>
            <w:tcW w:type="dxa" w:w="2232"/>
            <w:vAlign w:val="center"/>
            <w:shd w:fill="FFFFFF"/>
            <w:tcMar>
              <w:top w:w="65" w:type="dxa"/>
              <w:bottom w:w="65" w:type="dxa"/>
              <w:left w:w="95" w:type="dxa"/>
              <w:right w:w="95" w:type="dxa"/>
            </w:tcMar>
          </w:tcPr>
          <w:p>
            <w:pPr>
              <w:spacing w:line="254" w:lineRule="auto" w:after="40" w:before="40"/>
            </w:pPr>
            <w:r>
              <w:rPr>
                <w:sz w:val="21"/>
              </w:rPr>
              <w:t>G07 Confidence and references</w:t>
            </w:r>
          </w:p>
        </w:tc>
        <w:tc>
          <w:tcPr>
            <w:tcW w:type="dxa" w:w="7848"/>
            <w:vAlign w:val="center"/>
            <w:shd w:fill="FFFFFF"/>
            <w:tcMar>
              <w:top w:w="65" w:type="dxa"/>
              <w:bottom w:w="65" w:type="dxa"/>
              <w:left w:w="95" w:type="dxa"/>
              <w:right w:w="95" w:type="dxa"/>
            </w:tcMar>
          </w:tcPr>
          <w:p>
            <w:pPr>
              <w:spacing w:line="254" w:lineRule="auto" w:after="40" w:before="40"/>
            </w:pPr>
            <w:r>
              <w:rPr>
                <w:sz w:val="21"/>
              </w:rPr>
              <w:t>Voicing precision and recall each at least 95 percent; high-confidence coverage at least 80 percent of reference-voiced frames and error over 50 cents at most 2 percent; Sa, selected-note, nearest-degree and MIDI tests pass</w:t>
            </w:r>
          </w:p>
        </w:tc>
      </w:tr>
      <w:tr>
        <w:trPr>
          <w:cantSplit/>
        </w:trPr>
        <w:tc>
          <w:tcPr>
            <w:tcW w:type="dxa" w:w="2232"/>
            <w:vAlign w:val="center"/>
            <w:shd w:fill="F2F5F8"/>
            <w:tcMar>
              <w:top w:w="65" w:type="dxa"/>
              <w:bottom w:w="65" w:type="dxa"/>
              <w:left w:w="95" w:type="dxa"/>
              <w:right w:w="95" w:type="dxa"/>
            </w:tcMar>
          </w:tcPr>
          <w:p>
            <w:pPr>
              <w:spacing w:line="254" w:lineRule="auto" w:after="40" w:before="40"/>
            </w:pPr>
            <w:r>
              <w:rPr>
                <w:sz w:val="21"/>
              </w:rPr>
              <w:t>G08 Proposals and audition</w:t>
            </w:r>
          </w:p>
        </w:tc>
        <w:tc>
          <w:tcPr>
            <w:tcW w:type="dxa" w:w="7848"/>
            <w:vAlign w:val="center"/>
            <w:shd w:fill="F2F5F8"/>
            <w:tcMar>
              <w:top w:w="65" w:type="dxa"/>
              <w:bottom w:w="65" w:type="dxa"/>
              <w:left w:w="95" w:type="dxa"/>
              <w:right w:w="95" w:type="dxa"/>
            </w:tcMar>
          </w:tcPr>
          <w:p>
            <w:pPr>
              <w:spacing w:line="254" w:lineRule="auto" w:after="40" w:before="40"/>
            </w:pPr>
            <w:r>
              <w:rPr>
                <w:sz w:val="21"/>
              </w:rPr>
              <w:t>Rule fixtures produce exact expected settings or abstention; invalid evidence blocks a proposal; valid loudness matching within 0.5 LU; new clipping detected; audition matching never silently changes export</w:t>
            </w:r>
          </w:p>
        </w:tc>
      </w:tr>
      <w:tr>
        <w:trPr>
          <w:cantSplit/>
        </w:trPr>
        <w:tc>
          <w:tcPr>
            <w:tcW w:type="dxa" w:w="2232"/>
            <w:vAlign w:val="center"/>
            <w:shd w:fill="FFFFFF"/>
            <w:tcMar>
              <w:top w:w="65" w:type="dxa"/>
              <w:bottom w:w="65" w:type="dxa"/>
              <w:left w:w="95" w:type="dxa"/>
              <w:right w:w="95" w:type="dxa"/>
            </w:tcMar>
          </w:tcPr>
          <w:p>
            <w:pPr>
              <w:spacing w:line="254" w:lineRule="auto" w:after="40" w:before="40"/>
            </w:pPr>
            <w:r>
              <w:rPr>
                <w:sz w:val="21"/>
              </w:rPr>
              <w:t>G09 Recovery</w:t>
            </w:r>
          </w:p>
        </w:tc>
        <w:tc>
          <w:tcPr>
            <w:tcW w:type="dxa" w:w="7848"/>
            <w:vAlign w:val="center"/>
            <w:shd w:fill="FFFFFF"/>
            <w:tcMar>
              <w:top w:w="65" w:type="dxa"/>
              <w:bottom w:w="65" w:type="dxa"/>
              <w:left w:w="95" w:type="dxa"/>
              <w:right w:w="95" w:type="dxa"/>
            </w:tcMar>
          </w:tcPr>
          <w:p>
            <w:pPr>
              <w:spacing w:line="254" w:lineRule="auto" w:after="40" w:before="40"/>
            </w:pPr>
            <w:r>
              <w:rPr>
                <w:sz w:val="21"/>
              </w:rPr>
              <w:t>Forced stops at each mutation boundary preserve the last committed state or clearly identify recovery required; no source corruption; application-process crash loses at most 1 second of captured take audio under the declared test conditions</w:t>
            </w:r>
          </w:p>
        </w:tc>
      </w:tr>
      <w:tr>
        <w:trPr>
          <w:cantSplit/>
        </w:trPr>
        <w:tc>
          <w:tcPr>
            <w:tcW w:type="dxa" w:w="2232"/>
            <w:vAlign w:val="center"/>
            <w:shd w:fill="F2F5F8"/>
            <w:tcMar>
              <w:top w:w="65" w:type="dxa"/>
              <w:bottom w:w="65" w:type="dxa"/>
              <w:left w:w="95" w:type="dxa"/>
              <w:right w:w="95" w:type="dxa"/>
            </w:tcMar>
          </w:tcPr>
          <w:p>
            <w:pPr>
              <w:spacing w:line="254" w:lineRule="auto" w:after="40" w:before="40"/>
            </w:pPr>
            <w:r>
              <w:rPr>
                <w:sz w:val="21"/>
              </w:rPr>
              <w:t>G10 Performance</w:t>
            </w:r>
          </w:p>
        </w:tc>
        <w:tc>
          <w:tcPr>
            <w:tcW w:type="dxa" w:w="7848"/>
            <w:vAlign w:val="center"/>
            <w:shd w:fill="F2F5F8"/>
            <w:tcMar>
              <w:top w:w="65" w:type="dxa"/>
              <w:bottom w:w="65" w:type="dxa"/>
              <w:left w:w="95" w:type="dxa"/>
              <w:right w:w="95" w:type="dxa"/>
            </w:tcMar>
          </w:tcPr>
          <w:p>
            <w:pPr>
              <w:spacing w:line="254" w:lineRule="auto" w:after="40" w:before="40"/>
            </w:pPr>
            <w:r>
              <w:rPr>
                <w:sz w:val="21"/>
              </w:rPr>
              <w:t>Defined 8-track workload has zero detected playback dropouts over 30 minutes with permitted background work; callback p99 below 80 percent of its deadline and within 5 percent of matched baseline; recording correctly suspends heavy jobs</w:t>
            </w:r>
          </w:p>
        </w:tc>
      </w:tr>
      <w:tr>
        <w:trPr>
          <w:cantSplit/>
        </w:trPr>
        <w:tc>
          <w:tcPr>
            <w:tcW w:type="dxa" w:w="2232"/>
            <w:vAlign w:val="center"/>
            <w:shd w:fill="FFFFFF"/>
            <w:tcMar>
              <w:top w:w="65" w:type="dxa"/>
              <w:bottom w:w="65" w:type="dxa"/>
              <w:left w:w="95" w:type="dxa"/>
              <w:right w:w="95" w:type="dxa"/>
            </w:tcMar>
          </w:tcPr>
          <w:p>
            <w:pPr>
              <w:spacing w:line="254" w:lineRule="auto" w:after="40" w:before="40"/>
            </w:pPr>
            <w:r>
              <w:rPr>
                <w:sz w:val="21"/>
              </w:rPr>
              <w:t>G11 Product pilot</w:t>
            </w:r>
          </w:p>
        </w:tc>
        <w:tc>
          <w:tcPr>
            <w:tcW w:type="dxa" w:w="7848"/>
            <w:vAlign w:val="center"/>
            <w:shd w:fill="FFFFFF"/>
            <w:tcMar>
              <w:top w:w="65" w:type="dxa"/>
              <w:bottom w:w="65" w:type="dxa"/>
              <w:left w:w="95" w:type="dxa"/>
              <w:right w:w="95" w:type="dxa"/>
            </w:tcMar>
          </w:tcPr>
          <w:p>
            <w:pPr>
              <w:spacing w:line="254" w:lineRule="auto" w:after="40" w:before="40"/>
            </w:pPr>
            <w:r>
              <w:rPr>
                <w:sz w:val="21"/>
              </w:rPr>
              <w:t>At least 10 target users; at least 8 complete the supported workflow unaided; at least 7 keep a candidate on an actionable recording; at least 7 complete a second session on another recording without researcher operation</w:t>
            </w:r>
          </w:p>
        </w:tc>
      </w:tr>
      <w:tr>
        <w:trPr>
          <w:cantSplit/>
        </w:trPr>
        <w:tc>
          <w:tcPr>
            <w:tcW w:type="dxa" w:w="2232"/>
            <w:vAlign w:val="center"/>
            <w:shd w:fill="F2F5F8"/>
            <w:tcMar>
              <w:top w:w="65" w:type="dxa"/>
              <w:bottom w:w="65" w:type="dxa"/>
              <w:left w:w="95" w:type="dxa"/>
              <w:right w:w="95" w:type="dxa"/>
            </w:tcMar>
          </w:tcPr>
          <w:p>
            <w:pPr>
              <w:spacing w:line="254" w:lineRule="auto" w:after="40" w:before="40"/>
            </w:pPr>
            <w:r>
              <w:rPr>
                <w:sz w:val="21"/>
              </w:rPr>
              <w:t>G12 Privacy and degradation</w:t>
            </w:r>
          </w:p>
        </w:tc>
        <w:tc>
          <w:tcPr>
            <w:tcW w:type="dxa" w:w="7848"/>
            <w:vAlign w:val="center"/>
            <w:shd w:fill="F2F5F8"/>
            <w:tcMar>
              <w:top w:w="65" w:type="dxa"/>
              <w:bottom w:w="65" w:type="dxa"/>
              <w:left w:w="95" w:type="dxa"/>
              <w:right w:w="95" w:type="dxa"/>
            </w:tcMar>
          </w:tcPr>
          <w:p>
            <w:pPr>
              <w:spacing w:line="254" w:lineRule="auto" w:after="40" w:before="40"/>
            </w:pPr>
            <w:r>
              <w:rPr>
                <w:sz w:val="21"/>
              </w:rPr>
              <w:t>Offline tests show no app-originated cloud requests; cloud payloads match disclosed categories; unauthorised IPC and metadata injection cannot cause mutation or disclosure; failures preserve manual use; limits and cancellation pass</w:t>
            </w:r>
          </w:p>
        </w:tc>
      </w:tr>
      <w:tr>
        <w:trPr>
          <w:cantSplit/>
        </w:trPr>
        <w:tc>
          <w:tcPr>
            <w:tcW w:type="dxa" w:w="2232"/>
            <w:vAlign w:val="center"/>
            <w:shd w:fill="FFFFFF"/>
            <w:tcMar>
              <w:top w:w="65" w:type="dxa"/>
              <w:bottom w:w="65" w:type="dxa"/>
              <w:left w:w="95" w:type="dxa"/>
              <w:right w:w="95" w:type="dxa"/>
            </w:tcMar>
          </w:tcPr>
          <w:p>
            <w:pPr>
              <w:spacing w:line="254" w:lineRule="auto" w:after="40" w:before="40"/>
            </w:pPr>
            <w:r>
              <w:rPr>
                <w:sz w:val="21"/>
              </w:rPr>
              <w:t>G13 Release readiness</w:t>
            </w:r>
          </w:p>
        </w:tc>
        <w:tc>
          <w:tcPr>
            <w:tcW w:type="dxa" w:w="7848"/>
            <w:vAlign w:val="center"/>
            <w:shd w:fill="FFFFFF"/>
            <w:tcMar>
              <w:top w:w="65" w:type="dxa"/>
              <w:bottom w:w="65" w:type="dxa"/>
              <w:left w:w="95" w:type="dxa"/>
              <w:right w:w="95" w:type="dxa"/>
            </w:tcMar>
          </w:tcPr>
          <w:p>
            <w:pPr>
              <w:spacing w:line="254" w:lineRule="auto" w:after="40" w:before="40"/>
            </w:pPr>
            <w:r>
              <w:rPr>
                <w:sz w:val="21"/>
              </w:rPr>
              <w:t>Signed/notarised macOS package installs on the declared matrix; dependencies, notices, branding, model/data terms, supported monitoring mode and recovery instructions are complete</w:t>
            </w:r>
          </w:p>
        </w:tc>
      </w:tr>
    </w:tbl>
    <w:p>
      <w:pPr>
        <w:spacing w:after="40" w:before="0" w:line="240" w:lineRule="auto"/>
      </w:pPr>
      <w:r>
        <w:rPr>
          <w:sz w:val="4"/>
        </w:rPr>
      </w:r>
    </w:p>
    <w:p>
      <w:r>
        <w:rPr>
          <w:b/>
        </w:rPr>
        <w:t>G02-SW:</w:t>
      </w:r>
      <w:r>
        <w:t xml:space="preserve"> before qualifying software monitoring, measure input-to-output latency at or below 15 ms on every advertised low-latency configuration, with the stated processor chain and workload. Record input/output callback sizes, device buffers, sample rates, queueing and processor delay. Hardware monitoring cannot satisfy this measurement. If only hardware monitoring passes, publish that limitation and do not claim live audition of app effects.</w:t>
      </w:r>
    </w:p>
    <w:p>
      <w:r>
        <w:t>The 512-sample maximum in the pinned playback code does not alone establish a minimum round-trip latency: the code can render smaller quanta. Device/buffer selection and latency handling remain specific Phase 0 investigations. Record actual results instead of estimating a round trip as twice the maximum mix block. [S10]</w:t>
      </w:r>
    </w:p>
    <w:p>
      <w:r>
        <w:t>G09 covers application-process crashes, not power loss. Periodic header updates and file writes do not establish a storage durability guarantee. G02 endurance runs do not expand the advertised ten-minute programme envelope.</w:t>
      </w:r>
    </w:p>
    <w:p>
      <w:pPr>
        <w:pStyle w:val="Heading2"/>
      </w:pPr>
      <w:r>
        <w:t>12.2 Pitch corpus and scoring</w:t>
      </w:r>
    </w:p>
    <w:p>
      <w:r>
        <w:t>Build or license at least 160 natural-vocal excerpts from at least 16 singers, totalling at least 30 minutes. Reserve at least 80 excerpts from at least 8 singers exclusively for holdout; those singers must not occur in rule/model threshold selection. This replaces the smaller version 0.2 corpus. Unknown overlap with a pretrained model's training data must be disclosed.</w:t>
      </w:r>
    </w:p>
    <w:p>
      <w:r>
        <w:t>The holdout includes at least 3 low-register male voices and 3 high-register female voices, with measured pitch distributions recorded rather than inferring range from gender. Include at least 10 excerpts and 3 singers per condition: low register, high register, breathiness, slides and ornamentation. Conditions may overlap. Synthetic tones test implementation separately and do not raise the natural-vocal release scores.</w:t>
      </w:r>
    </w:p>
    <w:p>
      <w:r>
        <w:t>Independently check reference F0 and voiced boundaries. Annotations disputed by reviewers are marked before model scoring; report their duration and reason for exclusion. Score on a common 10 ms grid without octave folding. An abstention on a reference-voiced frame fails the G06 50-cent score. Report octave errors as estimates within 50 cents of an erroneous octave multiple and identify the denominator as reference-voiced frames.</w:t>
      </w:r>
    </w:p>
    <w:p>
      <w:r>
        <w:t>Primary voicing precision/recall and the main pitch scores include all adjudicated frames, including transitions. Also report a secondary interior score excluding a fixed 20 ms on either side of each voiced/unvoiced boundary; this diagnostic cannot replace the primary gate. Any different tolerance must be predeclared and versioned before holdout evaluation.</w:t>
      </w:r>
    </w:p>
    <w:p>
      <w:r>
        <w:t>Report frame-pooled scores, per-singer scores, condition scores and singer-macro averages. Produce 95 percent confidence intervals using at least 2,000 bootstrap resamples of singers, retaining each sampled singer's excerpts as a cluster. Name the interval method and random seed. Eight singers provides limited evidence: intervals may be wide, and bootstrap resampling does not create additional independent voices. The release gates use the stated point thresholds; publish uncertainty alongside them and make no population-wide guarantee. Evidence too weak for a proposed marketing claim requires more singers.</w:t>
      </w:r>
    </w:p>
    <w:p>
      <w:r>
        <w:t>Fix high-confidence thresholds using development data. High-confidence coverage uses all reference-voiced frames as its denominator; its pitch-error rate uses the high-confidence estimates on reference-voiced frames. Spurious voiced estimates are captured separately by voicing precision. Test detuning, octave errors, silence, tuning offsets, selected-note targets, explicit transposition and misaligned MIDI. Nearest-degree output must preserve the measured contour and remain distinct from an intended-note judgement. Keep commercial-use, redistribution and participant-consent permissions separate; do not assume an academic corpus licence covers product use.</w:t>
      </w:r>
    </w:p>
    <w:p>
      <w:pPr>
        <w:pStyle w:val="Heading2"/>
      </w:pPr>
      <w:r>
        <w:t>12.3 Intent and audio regression</w:t>
      </w:r>
    </w:p>
    <w:p>
      <w:r>
        <w:t>For G03, record the intended target and goal independently of the planner's answer. A wrong target remains a failure even if the user approves it. A wrong-target proposal caught before mutation counts against interpretation accuracy; any actual wrong-target mutation fails the zero-error condition. Approval binding is evaluated separately. Include duplicate names, changed selection, stale revisions, unsupported goals, malicious metadata and a reopened session with a reused numeric revision.</w:t>
      </w:r>
    </w:p>
    <w:p>
      <w:r>
        <w:t>For the local policy, lock measurement fixtures, expected parameter plans and abstention cases. Test missing evidence, out-of-range controls, confidence thresholds, changed source fingerprints and rule-version changes. A successful model response cannot bypass these checks.</w:t>
      </w:r>
    </w:p>
    <w:p>
      <w:r>
        <w:t>Test gain factors, pan behaviour, EQ response and compressor curves; bypass, order, persistence and automation conflicts; silence, near-clipped material and corrupted inputs. For compressed backing, verify decoded timing using known fixtures and recorded decoder delay/padding behaviour. Compare upstream, integration with AI disabled and permitted background load using the same hardware and session configuration.</w:t>
      </w:r>
    </w:p>
    <w:p>
      <w:pPr>
        <w:pStyle w:val="Heading2"/>
      </w:pPr>
      <w:r>
        <w:t>12.4 Early discovery and product pilot</w:t>
      </w:r>
    </w:p>
    <w:p>
      <w:r>
        <w:t>Recruit 6 to 8 independent vocalists for G00, including low-register singers and users who do not have a MIDI melody. Use recordings they have permission to share for the trial. Record consent, permitted uses and deletion arrangements; do not use trial audio for model training without separate consent.</w:t>
      </w:r>
    </w:p>
    <w:p>
      <w:r>
        <w:t>Each participant receives a no-MIDI pitch view, a selected-note example and a level-matched gain/EQ/compression preview for an agreed actionable issue. Include a clean control where retaining the original is reasonable. Log manual preparation, researcher assistance and time separately so a successful demonstration is not represented as automated product performance.</w:t>
      </w:r>
    </w:p>
    <w:p>
      <w:r>
        <w:t>Before collecting outcomes, freeze these proposed go criteria: at least 6 completed sessions; at least two-thirds of participants can explain the difference between measured pitch, nearest degree and intended-note error; at least two-thirds keep a candidate on the actionable recording; at least half provide a second recording for another trial within seven days. Round required participant counts upwards. Record ties, rejection reasons and the performance of pitch and production assistance separately.</w:t>
      </w:r>
    </w:p>
    <w:p>
      <w:r>
        <w:t>Meeting G00 supports investment in the integrated prototype, not a market-validation claim. A mixed result produces a bounded redesign or a proposed scope change; it must not be averaged into success. Fewer than six completed sessions is inconclusive. If pitch adds no useful value but production does, document that finding and amend the scope explicitly before proceeding with a different product promise.</w:t>
      </w:r>
    </w:p>
    <w:p>
      <w:r>
        <w:t>G11 runs later on the integrated product. Participants perform the actual import or qualified-recording workflow, inspect pitch without requiring MIDI, preview a proposal, keep or reject it, save/reopen and export. Record completion, elapsed time, help, failures, preference and a completed second use within fourteen days. Randomise A/B order where practical. The clean control is not included in the candidate-preference target. G00 and G11 do not establish statistical proof of professional audio quality or commercial demand.</w:t>
      </w:r>
    </w:p>
    <w:p>
      <w:pPr>
        <w:pStyle w:val="Heading1"/>
      </w:pPr>
      <w:r>
        <w:t>13 Delivery plan</w:t>
      </w:r>
    </w:p>
    <w:p>
      <w:pPr>
        <w:pStyle w:val="Heading2"/>
      </w:pPr>
      <w:r>
        <w:t>13.1 Phase 0 Product discovery and foundation qualification</w:t>
      </w:r>
    </w:p>
    <w:p>
      <w:r>
        <w:t xml:space="preserve">Timebox Phase 0 to </w:t>
      </w:r>
      <w:r>
        <w:rPr>
          <w:b/>
        </w:rPr>
        <w:t>four calendar weeks from an explicitly recorded start</w:t>
      </w:r>
      <w:r>
        <w:t xml:space="preserve">, with a proposed ceiling of </w:t>
      </w:r>
      <w:r>
        <w:rPr>
          <w:b/>
        </w:rPr>
        <w:t>40 engineering hours</w:t>
      </w:r>
      <w:r>
        <w:t>. These are planning limits, not an assertion about available capacity. Record weekly availability before starting; insufficient capacity requires a smaller investigation or a revised timebox. At the deadline, issue go, repair, stop or inconclusive decisions rather than silently extending discovery.</w:t>
      </w:r>
    </w:p>
    <w:p>
      <w:r>
        <w:t>Run two workstreams during the same period. The product workstream starts recruitment and the G00 experiment immediately, using copied inputs and separate previews. The technical workstream builds the pinned application and measures the foundation. The full session-mutation controller is not a prerequisite for the product experiment.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7949"/>
      </w:tblGrid>
      <w:tr>
        <w:trPr>
          <w:cantSplit/>
          <w:tblHeader/>
        </w:trPr>
        <w:tc>
          <w:tcPr>
            <w:tcW w:type="dxa" w:w="2131"/>
            <w:vAlign w:val="center"/>
            <w:shd w:fill="243B53"/>
            <w:tcMar>
              <w:top w:w="65" w:type="dxa"/>
              <w:bottom w:w="65" w:type="dxa"/>
              <w:left w:w="95" w:type="dxa"/>
              <w:right w:w="95" w:type="dxa"/>
            </w:tcMar>
          </w:tcPr>
          <w:p>
            <w:pPr>
              <w:spacing w:line="254" w:lineRule="auto" w:after="40" w:before="40"/>
            </w:pPr>
            <w:r>
              <w:rPr>
                <w:b/>
                <w:color w:val="FFFFFF"/>
                <w:sz w:val="21"/>
              </w:rPr>
              <w:t>Investigation</w:t>
            </w:r>
          </w:p>
        </w:tc>
        <w:tc>
          <w:tcPr>
            <w:tcW w:type="dxa" w:w="7949"/>
            <w:vAlign w:val="center"/>
            <w:shd w:fill="243B53"/>
            <w:tcMar>
              <w:top w:w="65" w:type="dxa"/>
              <w:bottom w:w="65" w:type="dxa"/>
              <w:left w:w="95" w:type="dxa"/>
              <w:right w:w="95" w:type="dxa"/>
            </w:tcMar>
          </w:tcPr>
          <w:p>
            <w:pPr>
              <w:spacing w:line="254" w:lineRule="auto" w:after="40" w:before="40"/>
            </w:pPr>
            <w:r>
              <w:rPr>
                <w:b/>
                <w:color w:val="FFFFFF"/>
                <w:sz w:val="21"/>
              </w:rPr>
              <w:t>Phase 0 output</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Import, render and persistence</w:t>
            </w:r>
          </w:p>
        </w:tc>
        <w:tc>
          <w:tcPr>
            <w:tcW w:type="dxa" w:w="7949"/>
            <w:vAlign w:val="center"/>
            <w:shd w:fill="F2F5F8"/>
            <w:tcMar>
              <w:top w:w="65" w:type="dxa"/>
              <w:bottom w:w="65" w:type="dxa"/>
              <w:left w:w="95" w:type="dxa"/>
              <w:right w:w="95" w:type="dxa"/>
            </w:tcMar>
          </w:tcPr>
          <w:p>
            <w:pPr>
              <w:spacing w:line="254" w:lineRule="auto" w:after="40" w:before="40"/>
            </w:pPr>
            <w:r>
              <w:rPr>
                <w:sz w:val="21"/>
              </w:rPr>
              <w:t>Source-preserving WAV/MP3/AAC fixtures, bounce and reopen evidence</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Existing disk recorder</w:t>
            </w:r>
          </w:p>
        </w:tc>
        <w:tc>
          <w:tcPr>
            <w:tcW w:type="dxa" w:w="7949"/>
            <w:vAlign w:val="center"/>
            <w:shd w:fill="FFFFFF"/>
            <w:tcMar>
              <w:top w:w="65" w:type="dxa"/>
              <w:bottom w:w="65" w:type="dxa"/>
              <w:left w:w="95" w:type="dxa"/>
              <w:right w:w="95" w:type="dxa"/>
            </w:tcMar>
          </w:tcPr>
          <w:p>
            <w:pPr>
              <w:spacing w:line="254" w:lineRule="auto" w:after="40" w:before="40"/>
            </w:pPr>
            <w:r>
              <w:rPr>
                <w:sz w:val="21"/>
              </w:rPr>
              <w:t>Normal and interrupted-take tests, writer-error behaviour and remaining recovery gaps</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Device and monitoring path</w:t>
            </w:r>
          </w:p>
        </w:tc>
        <w:tc>
          <w:tcPr>
            <w:tcW w:type="dxa" w:w="7949"/>
            <w:vAlign w:val="center"/>
            <w:shd w:fill="F2F5F8"/>
            <w:tcMar>
              <w:top w:w="65" w:type="dxa"/>
              <w:bottom w:w="65" w:type="dxa"/>
              <w:left w:w="95" w:type="dxa"/>
              <w:right w:w="95" w:type="dxa"/>
            </w:tcMar>
          </w:tcPr>
          <w:p>
            <w:pPr>
              <w:spacing w:line="254" w:lineRule="auto" w:after="40" w:before="40"/>
            </w:pPr>
            <w:r>
              <w:rPr>
                <w:sz w:val="21"/>
              </w:rPr>
              <w:t>Named interface, hardware monitor setup, callback/buffer observations, alignment and latency measurements; bounded control/compensation repair tasks</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Revision and publication</w:t>
            </w:r>
          </w:p>
        </w:tc>
        <w:tc>
          <w:tcPr>
            <w:tcW w:type="dxa" w:w="7949"/>
            <w:vAlign w:val="center"/>
            <w:shd w:fill="FFFFFF"/>
            <w:tcMar>
              <w:top w:w="65" w:type="dxa"/>
              <w:bottom w:w="65" w:type="dxa"/>
              <w:left w:w="95" w:type="dxa"/>
              <w:right w:w="95" w:type="dxa"/>
            </w:tcMar>
          </w:tcPr>
          <w:p>
            <w:pPr>
              <w:spacing w:line="254" w:lineRule="auto" w:after="40" w:before="40"/>
            </w:pPr>
            <w:r>
              <w:rPr>
                <w:sz w:val="21"/>
              </w:rPr>
              <w:t>Audit current counter semantics and external exposure; one minimal experiment for guarded staged publication and undo</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Local control protection</w:t>
            </w:r>
          </w:p>
        </w:tc>
        <w:tc>
          <w:tcPr>
            <w:tcW w:type="dxa" w:w="7949"/>
            <w:vAlign w:val="center"/>
            <w:shd w:fill="F2F5F8"/>
            <w:tcMar>
              <w:top w:w="65" w:type="dxa"/>
              <w:bottom w:w="65" w:type="dxa"/>
              <w:left w:w="95" w:type="dxa"/>
              <w:right w:w="95" w:type="dxa"/>
            </w:tcMar>
          </w:tcPr>
          <w:p>
            <w:pPr>
              <w:spacing w:line="254" w:lineRule="auto" w:after="40" w:before="40"/>
            </w:pPr>
            <w:r>
              <w:rPr>
                <w:sz w:val="21"/>
              </w:rPr>
              <w:t>Proposed authenticated endpoint and rejection tests for the first mutation path</w:t>
            </w:r>
          </w:p>
        </w:tc>
      </w:tr>
      <w:tr>
        <w:trPr>
          <w:cantSplit/>
        </w:trPr>
        <w:tc>
          <w:tcPr>
            <w:tcW w:type="dxa" w:w="2131"/>
            <w:vAlign w:val="center"/>
            <w:shd w:fill="FFFFFF"/>
            <w:tcMar>
              <w:top w:w="65" w:type="dxa"/>
              <w:bottom w:w="65" w:type="dxa"/>
              <w:left w:w="95" w:type="dxa"/>
              <w:right w:w="95" w:type="dxa"/>
            </w:tcMar>
          </w:tcPr>
          <w:p>
            <w:pPr>
              <w:spacing w:line="254" w:lineRule="auto" w:after="40" w:before="40"/>
            </w:pPr>
            <w:r>
              <w:rPr>
                <w:sz w:val="21"/>
              </w:rPr>
              <w:t>Pitch and processing</w:t>
            </w:r>
          </w:p>
        </w:tc>
        <w:tc>
          <w:tcPr>
            <w:tcW w:type="dxa" w:w="7949"/>
            <w:vAlign w:val="center"/>
            <w:shd w:fill="FFFFFF"/>
            <w:tcMar>
              <w:top w:w="65" w:type="dxa"/>
              <w:bottom w:w="65" w:type="dxa"/>
              <w:left w:w="95" w:type="dxa"/>
              <w:right w:w="95" w:type="dxa"/>
            </w:tcMar>
          </w:tcPr>
          <w:p>
            <w:pPr>
              <w:spacing w:line="254" w:lineRule="auto" w:after="40" w:before="40"/>
            </w:pPr>
            <w:r>
              <w:rPr>
                <w:sz w:val="21"/>
              </w:rPr>
              <w:t>Small natural-vocal benchmark, no-MIDI UI trial and initial deterministic rule fixtures</w:t>
            </w:r>
          </w:p>
        </w:tc>
      </w:tr>
      <w:tr>
        <w:trPr>
          <w:cantSplit/>
        </w:trPr>
        <w:tc>
          <w:tcPr>
            <w:tcW w:type="dxa" w:w="2131"/>
            <w:vAlign w:val="center"/>
            <w:shd w:fill="F2F5F8"/>
            <w:tcMar>
              <w:top w:w="65" w:type="dxa"/>
              <w:bottom w:w="65" w:type="dxa"/>
              <w:left w:w="95" w:type="dxa"/>
              <w:right w:w="95" w:type="dxa"/>
            </w:tcMar>
          </w:tcPr>
          <w:p>
            <w:pPr>
              <w:spacing w:line="254" w:lineRule="auto" w:after="40" w:before="40"/>
            </w:pPr>
            <w:r>
              <w:rPr>
                <w:sz w:val="21"/>
              </w:rPr>
              <w:t>Packaging and dependencies</w:t>
            </w:r>
          </w:p>
        </w:tc>
        <w:tc>
          <w:tcPr>
            <w:tcW w:type="dxa" w:w="7949"/>
            <w:vAlign w:val="center"/>
            <w:shd w:fill="F2F5F8"/>
            <w:tcMar>
              <w:top w:w="65" w:type="dxa"/>
              <w:bottom w:w="65" w:type="dxa"/>
              <w:left w:w="95" w:type="dxa"/>
              <w:right w:w="95" w:type="dxa"/>
            </w:tcMar>
          </w:tcPr>
          <w:p>
            <w:pPr>
              <w:spacing w:line="254" w:lineRule="auto" w:after="40" w:before="40"/>
            </w:pPr>
            <w:r>
              <w:rPr>
                <w:sz w:val="21"/>
              </w:rPr>
              <w:t>Local runtime/model options, licence inventory, resource measurements and bounded estimates</w:t>
            </w:r>
          </w:p>
        </w:tc>
      </w:tr>
    </w:tbl>
    <w:p>
      <w:pPr>
        <w:spacing w:after="40" w:before="0" w:line="240" w:lineRule="auto"/>
      </w:pPr>
      <w:r>
        <w:rPr>
          <w:sz w:val="4"/>
        </w:rPr>
      </w:r>
    </w:p>
    <w:p>
      <w:r>
        <w:rPr>
          <w:b/>
        </w:rPr>
        <w:t>Exit:</w:t>
      </w:r>
      <w:r>
        <w:t xml:space="preserve"> G00 decision, a source-backed capability matrix, named remaining repairs with estimates, and separate decisions for safe imported-session editing and recording. Do not implement a second disk writer or revision mechanism without evidence that the existing one cannot satisfy the required contract.</w:t>
      </w:r>
    </w:p>
    <w:p>
      <w:pPr>
        <w:pStyle w:val="Heading2"/>
      </w:pPr>
      <w:r>
        <w:t>13.2 Phase 1 Complete imported vocal workflow</w:t>
      </w:r>
    </w:p>
    <w:p>
      <w:r>
        <w:t>Build one integrated path with local analysis, no-MIDI pitch inspection, one admitted production goal, isolated audition, exact approval, guarded commit, grouped undo and save/reopen. Start with the smallest useful supported processor set. Local goal controls and the assistant use the same controller and policy; a natural-language interface cannot gain additional mutation authority.</w:t>
      </w:r>
    </w:p>
    <w:p>
      <w:r>
        <w:rPr>
          <w:b/>
        </w:rPr>
        <w:t>Exit:</w:t>
      </w:r>
      <w:r>
        <w:t xml:space="preserve"> the path works on real vocals, including a stale proposal, an interrupted task, a duplicate request and a later manual edit. Applicable G01, G03 to G05, G08, G09 and local-control G12 cases pass for every admitted operation. These subset results do not mark the full release gates passed.</w:t>
      </w:r>
    </w:p>
    <w:p>
      <w:pPr>
        <w:pStyle w:val="Heading2"/>
      </w:pPr>
      <w:r>
        <w:t>13.3 Phase 2 Vocal quality and product qualification</w:t>
      </w:r>
    </w:p>
    <w:p>
      <w:r>
        <w:t>Complete the gain/EQ/compression policies, selected-note practice and advanced MIDI comparison. Freeze the corpus and thresholds, evaluate G06 and G07, and conduct G11 on the working application. G00 has already tested initial usefulness; G11 now tests actual product performance and repeat use.</w:t>
      </w:r>
    </w:p>
    <w:p>
      <w:r>
        <w:rPr>
          <w:b/>
        </w:rPr>
        <w:t>Exit:</w:t>
      </w:r>
      <w:r>
        <w:t xml:space="preserve"> the full imported workflow passes G03 through G08 and G11, with no unresolved integrity defect. Report condition-specific pitch failures and rejected processing results. Pitch correction and audio-derived reference generation remain separately scoped.</w:t>
      </w:r>
    </w:p>
    <w:p>
      <w:pPr>
        <w:pStyle w:val="Heading2"/>
      </w:pPr>
      <w:r>
        <w:t>13.4 Phase 3 Recording and early access</w:t>
      </w:r>
    </w:p>
    <w:p>
      <w:r>
        <w:t>Complete device controls, alignment/compensation and identified repairs to existing recording/recovery paths. Qualify the hardware direct-monitoring workflow, resource limits, installation and privacy on the packaged build. Software monitoring enters the supported envelope only if G02-SW passes and its processor/load limits are published.</w:t>
      </w:r>
    </w:p>
    <w:p>
      <w:r>
        <w:rPr>
          <w:b/>
        </w:rPr>
        <w:t>Exit:</w:t>
      </w:r>
      <w:r>
        <w:t xml:space="preserve"> G01 to G13 pass for the declared release envelope, with any optional qualification clearly identified. A recording failure retains prototype status until a repaired build passes or a versioned product-scope change is approved.</w:t>
      </w:r>
    </w:p>
    <w:p>
      <w:pPr>
        <w:pStyle w:val="Heading2"/>
      </w:pPr>
      <w:r>
        <w:t>13.5 Estimation and change control</w:t>
      </w:r>
    </w:p>
    <w:p>
      <w:r>
        <w:t>Phase 0's timebox is a decision deadline, not a commitment to implement every repair within forty hours. Estimate later work from actual integration experiments and named tasks. Keep generic upstream improvements separate from product-specific policy and interface changes; upstream review or acceptance must not be assumed.</w:t>
      </w:r>
    </w:p>
    <w:p>
      <w:r>
        <w:t>A new AI capability must define its inputs, authority, data contract, user benefit, evaluation and effect on existing gates. Changing the first-release monitoring mode, reference workflow, accuracy threshold or public release scope requires a recorded specification revision.</w:t>
      </w:r>
    </w:p>
    <w:p>
      <w:pPr>
        <w:pStyle w:val="Heading1"/>
      </w:pPr>
      <w:r>
        <w:t>14 Decisions risks and distribution</w:t>
      </w:r>
    </w:p>
    <w:p>
      <w:pPr>
        <w:pStyle w:val="Heading2"/>
      </w:pPr>
      <w:r>
        <w:t>14.1 Defaults and unresolved choices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859"/>
        <w:gridCol w:w="4234"/>
      </w:tblGrid>
      <w:tr>
        <w:trPr>
          <w:cantSplit/>
          <w:tblHeader/>
        </w:trPr>
        <w:tc>
          <w:tcPr>
            <w:tcW w:type="dxa" w:w="1987"/>
            <w:vAlign w:val="center"/>
            <w:shd w:fill="243B53"/>
            <w:tcMar>
              <w:top w:w="65" w:type="dxa"/>
              <w:bottom w:w="65" w:type="dxa"/>
              <w:left w:w="95" w:type="dxa"/>
              <w:right w:w="95" w:type="dxa"/>
            </w:tcMar>
          </w:tcPr>
          <w:p>
            <w:pPr>
              <w:spacing w:line="254" w:lineRule="auto" w:after="40" w:before="40"/>
            </w:pPr>
            <w:r>
              <w:rPr>
                <w:b/>
                <w:color w:val="FFFFFF"/>
                <w:sz w:val="21"/>
              </w:rPr>
              <w:t>Decision</w:t>
            </w:r>
          </w:p>
        </w:tc>
        <w:tc>
          <w:tcPr>
            <w:tcW w:type="dxa" w:w="3859"/>
            <w:vAlign w:val="center"/>
            <w:shd w:fill="243B53"/>
            <w:tcMar>
              <w:top w:w="65" w:type="dxa"/>
              <w:bottom w:w="65" w:type="dxa"/>
              <w:left w:w="95" w:type="dxa"/>
              <w:right w:w="95" w:type="dxa"/>
            </w:tcMar>
          </w:tcPr>
          <w:p>
            <w:pPr>
              <w:spacing w:line="254" w:lineRule="auto" w:after="40" w:before="40"/>
            </w:pPr>
            <w:r>
              <w:rPr>
                <w:b/>
                <w:color w:val="FFFFFF"/>
                <w:sz w:val="21"/>
              </w:rPr>
              <w:t>Version 0.3 position</w:t>
            </w:r>
          </w:p>
        </w:tc>
        <w:tc>
          <w:tcPr>
            <w:tcW w:type="dxa" w:w="4234"/>
            <w:vAlign w:val="center"/>
            <w:shd w:fill="243B53"/>
            <w:tcMar>
              <w:top w:w="65" w:type="dxa"/>
              <w:bottom w:w="65" w:type="dxa"/>
              <w:left w:w="95" w:type="dxa"/>
              <w:right w:w="95" w:type="dxa"/>
            </w:tcMar>
          </w:tcPr>
          <w:p>
            <w:pPr>
              <w:spacing w:line="254" w:lineRule="auto" w:after="40" w:before="40"/>
            </w:pPr>
            <w:r>
              <w:rPr>
                <w:b/>
                <w:color w:val="FFFFFF"/>
                <w:sz w:val="21"/>
              </w:rPr>
              <w:t>Resolution gate</w:t>
            </w:r>
          </w:p>
        </w:tc>
      </w:tr>
      <w:tr>
        <w:trPr>
          <w:cantSplit/>
        </w:trPr>
        <w:tc>
          <w:tcPr>
            <w:tcW w:type="dxa" w:w="1987"/>
            <w:vAlign w:val="center"/>
            <w:shd w:fill="F2F5F8"/>
            <w:tcMar>
              <w:top w:w="65" w:type="dxa"/>
              <w:bottom w:w="65" w:type="dxa"/>
              <w:left w:w="95" w:type="dxa"/>
              <w:right w:w="95" w:type="dxa"/>
            </w:tcMar>
          </w:tcPr>
          <w:p>
            <w:pPr>
              <w:spacing w:line="254" w:lineRule="auto" w:after="40" w:before="40"/>
            </w:pPr>
            <w:r>
              <w:rPr>
                <w:sz w:val="21"/>
              </w:rPr>
              <w:t>Launch user</w:t>
            </w:r>
          </w:p>
        </w:tc>
        <w:tc>
          <w:tcPr>
            <w:tcW w:type="dxa" w:w="3859"/>
            <w:vAlign w:val="center"/>
            <w:shd w:fill="F2F5F8"/>
            <w:tcMar>
              <w:top w:w="65" w:type="dxa"/>
              <w:bottom w:w="65" w:type="dxa"/>
              <w:left w:w="95" w:type="dxa"/>
              <w:right w:w="95" w:type="dxa"/>
            </w:tcMar>
          </w:tcPr>
          <w:p>
            <w:pPr>
              <w:spacing w:line="254" w:lineRule="auto" w:after="40" w:before="40"/>
            </w:pPr>
            <w:r>
              <w:rPr>
                <w:sz w:val="21"/>
              </w:rPr>
              <w:t>Independent vocalist with lead and backing</w:t>
            </w:r>
          </w:p>
        </w:tc>
        <w:tc>
          <w:tcPr>
            <w:tcW w:type="dxa" w:w="4234"/>
            <w:vAlign w:val="center"/>
            <w:shd w:fill="F2F5F8"/>
            <w:tcMar>
              <w:top w:w="65" w:type="dxa"/>
              <w:bottom w:w="65" w:type="dxa"/>
              <w:left w:w="95" w:type="dxa"/>
              <w:right w:w="95" w:type="dxa"/>
            </w:tcMar>
          </w:tcPr>
          <w:p>
            <w:pPr>
              <w:spacing w:line="254" w:lineRule="auto" w:after="40" w:before="40"/>
            </w:pPr>
            <w:r>
              <w:rPr>
                <w:sz w:val="21"/>
              </w:rPr>
              <w:t>G00, then G11</w:t>
            </w:r>
          </w:p>
        </w:tc>
      </w:tr>
      <w:tr>
        <w:trPr>
          <w:cantSplit/>
        </w:trPr>
        <w:tc>
          <w:tcPr>
            <w:tcW w:type="dxa" w:w="1987"/>
            <w:vAlign w:val="center"/>
            <w:shd w:fill="FFFFFF"/>
            <w:tcMar>
              <w:top w:w="65" w:type="dxa"/>
              <w:bottom w:w="65" w:type="dxa"/>
              <w:left w:w="95" w:type="dxa"/>
              <w:right w:w="95" w:type="dxa"/>
            </w:tcMar>
          </w:tcPr>
          <w:p>
            <w:pPr>
              <w:spacing w:line="254" w:lineRule="auto" w:after="40" w:before="40"/>
            </w:pPr>
            <w:r>
              <w:rPr>
                <w:sz w:val="21"/>
              </w:rPr>
              <w:t>Integration</w:t>
            </w:r>
          </w:p>
        </w:tc>
        <w:tc>
          <w:tcPr>
            <w:tcW w:type="dxa" w:w="3859"/>
            <w:vAlign w:val="center"/>
            <w:shd w:fill="FFFFFF"/>
            <w:tcMar>
              <w:top w:w="65" w:type="dxa"/>
              <w:bottom w:w="65" w:type="dxa"/>
              <w:left w:w="95" w:type="dxa"/>
              <w:right w:w="95" w:type="dxa"/>
            </w:tcMar>
          </w:tcPr>
          <w:p>
            <w:pPr>
              <w:spacing w:line="254" w:lineRule="auto" w:after="40" w:before="40"/>
            </w:pPr>
            <w:r>
              <w:rPr>
                <w:sz w:val="21"/>
              </w:rPr>
              <w:t>Thin engine extension and local companion</w:t>
            </w:r>
          </w:p>
        </w:tc>
        <w:tc>
          <w:tcPr>
            <w:tcW w:type="dxa" w:w="4234"/>
            <w:vAlign w:val="center"/>
            <w:shd w:fill="FFFFFF"/>
            <w:tcMar>
              <w:top w:w="65" w:type="dxa"/>
              <w:bottom w:w="65" w:type="dxa"/>
              <w:left w:w="95" w:type="dxa"/>
              <w:right w:w="95" w:type="dxa"/>
            </w:tcMar>
          </w:tcPr>
          <w:p>
            <w:pPr>
              <w:spacing w:line="254" w:lineRule="auto" w:after="40" w:before="40"/>
            </w:pPr>
            <w:r>
              <w:rPr>
                <w:sz w:val="21"/>
              </w:rPr>
              <w:t>Phase 0 experiment</w:t>
            </w:r>
          </w:p>
        </w:tc>
      </w:tr>
      <w:tr>
        <w:trPr>
          <w:cantSplit/>
        </w:trPr>
        <w:tc>
          <w:tcPr>
            <w:tcW w:type="dxa" w:w="1987"/>
            <w:vAlign w:val="center"/>
            <w:shd w:fill="F2F5F8"/>
            <w:tcMar>
              <w:top w:w="65" w:type="dxa"/>
              <w:bottom w:w="65" w:type="dxa"/>
              <w:left w:w="95" w:type="dxa"/>
              <w:right w:w="95" w:type="dxa"/>
            </w:tcMar>
          </w:tcPr>
          <w:p>
            <w:pPr>
              <w:spacing w:line="254" w:lineRule="auto" w:after="40" w:before="40"/>
            </w:pPr>
            <w:r>
              <w:rPr>
                <w:sz w:val="21"/>
              </w:rPr>
              <w:t>Existing foundation</w:t>
            </w:r>
          </w:p>
        </w:tc>
        <w:tc>
          <w:tcPr>
            <w:tcW w:type="dxa" w:w="3859"/>
            <w:vAlign w:val="center"/>
            <w:shd w:fill="F2F5F8"/>
            <w:tcMar>
              <w:top w:w="65" w:type="dxa"/>
              <w:bottom w:w="65" w:type="dxa"/>
              <w:left w:w="95" w:type="dxa"/>
              <w:right w:w="95" w:type="dxa"/>
            </w:tcMar>
          </w:tcPr>
          <w:p>
            <w:pPr>
              <w:spacing w:line="254" w:lineRule="auto" w:after="40" w:before="40"/>
            </w:pPr>
            <w:r>
              <w:rPr>
                <w:sz w:val="21"/>
              </w:rPr>
              <w:t>Reuse recorder, revision counter and copy-on-write history when qualified</w:t>
            </w:r>
          </w:p>
        </w:tc>
        <w:tc>
          <w:tcPr>
            <w:tcW w:type="dxa" w:w="4234"/>
            <w:vAlign w:val="center"/>
            <w:shd w:fill="F2F5F8"/>
            <w:tcMar>
              <w:top w:w="65" w:type="dxa"/>
              <w:bottom w:w="65" w:type="dxa"/>
              <w:left w:w="95" w:type="dxa"/>
              <w:right w:w="95" w:type="dxa"/>
            </w:tcMar>
          </w:tcPr>
          <w:p>
            <w:pPr>
              <w:spacing w:line="254" w:lineRule="auto" w:after="40" w:before="40"/>
            </w:pPr>
            <w:r>
              <w:rPr>
                <w:sz w:val="21"/>
              </w:rPr>
              <w:t>Source and runtime evidence</w:t>
            </w:r>
          </w:p>
        </w:tc>
      </w:tr>
      <w:tr>
        <w:trPr>
          <w:cantSplit/>
        </w:trPr>
        <w:tc>
          <w:tcPr>
            <w:tcW w:type="dxa" w:w="1987"/>
            <w:vAlign w:val="center"/>
            <w:shd w:fill="FFFFFF"/>
            <w:tcMar>
              <w:top w:w="65" w:type="dxa"/>
              <w:bottom w:w="65" w:type="dxa"/>
              <w:left w:w="95" w:type="dxa"/>
              <w:right w:w="95" w:type="dxa"/>
            </w:tcMar>
          </w:tcPr>
          <w:p>
            <w:pPr>
              <w:spacing w:line="254" w:lineRule="auto" w:after="40" w:before="40"/>
            </w:pPr>
            <w:r>
              <w:rPr>
                <w:sz w:val="21"/>
              </w:rPr>
              <w:t>Source control</w:t>
            </w:r>
          </w:p>
        </w:tc>
        <w:tc>
          <w:tcPr>
            <w:tcW w:type="dxa" w:w="3859"/>
            <w:vAlign w:val="center"/>
            <w:shd w:fill="FFFFFF"/>
            <w:tcMar>
              <w:top w:w="65" w:type="dxa"/>
              <w:bottom w:w="65" w:type="dxa"/>
              <w:left w:w="95" w:type="dxa"/>
              <w:right w:w="95" w:type="dxa"/>
            </w:tcMar>
          </w:tcPr>
          <w:p>
            <w:pPr>
              <w:spacing w:line="254" w:lineRule="auto" w:after="40" w:before="40"/>
            </w:pPr>
            <w:r>
              <w:rPr>
                <w:sz w:val="21"/>
              </w:rPr>
              <w:t>Isolated fork or branch retaining upstream; small separable patches</w:t>
            </w:r>
          </w:p>
        </w:tc>
        <w:tc>
          <w:tcPr>
            <w:tcW w:type="dxa" w:w="4234"/>
            <w:vAlign w:val="center"/>
            <w:shd w:fill="FFFFFF"/>
            <w:tcMar>
              <w:top w:w="65" w:type="dxa"/>
              <w:bottom w:w="65" w:type="dxa"/>
              <w:left w:w="95" w:type="dxa"/>
              <w:right w:w="95" w:type="dxa"/>
            </w:tcMar>
          </w:tcPr>
          <w:p>
            <w:pPr>
              <w:spacing w:line="254" w:lineRule="auto" w:after="40" w:before="40"/>
            </w:pPr>
            <w:r>
              <w:rPr>
                <w:sz w:val="21"/>
              </w:rPr>
              <w:t>Before implementation; no repository action claimed here</w:t>
            </w:r>
          </w:p>
        </w:tc>
      </w:tr>
      <w:tr>
        <w:trPr>
          <w:cantSplit/>
        </w:trPr>
        <w:tc>
          <w:tcPr>
            <w:tcW w:type="dxa" w:w="1987"/>
            <w:vAlign w:val="center"/>
            <w:shd w:fill="F2F5F8"/>
            <w:tcMar>
              <w:top w:w="65" w:type="dxa"/>
              <w:bottom w:w="65" w:type="dxa"/>
              <w:left w:w="95" w:type="dxa"/>
              <w:right w:w="95" w:type="dxa"/>
            </w:tcMar>
          </w:tcPr>
          <w:p>
            <w:pPr>
              <w:spacing w:line="254" w:lineRule="auto" w:after="40" w:before="40"/>
            </w:pPr>
            <w:r>
              <w:rPr>
                <w:sz w:val="21"/>
              </w:rPr>
              <w:t>Production policy</w:t>
            </w:r>
          </w:p>
        </w:tc>
        <w:tc>
          <w:tcPr>
            <w:tcW w:type="dxa" w:w="3859"/>
            <w:vAlign w:val="center"/>
            <w:shd w:fill="F2F5F8"/>
            <w:tcMar>
              <w:top w:w="65" w:type="dxa"/>
              <w:bottom w:w="65" w:type="dxa"/>
              <w:left w:w="95" w:type="dxa"/>
              <w:right w:w="95" w:type="dxa"/>
            </w:tcMar>
          </w:tcPr>
          <w:p>
            <w:pPr>
              <w:spacing w:line="254" w:lineRule="auto" w:after="40" w:before="40"/>
            </w:pPr>
            <w:r>
              <w:rPr>
                <w:sz w:val="21"/>
              </w:rPr>
              <w:t>Versioned local rules; LLM maps intent and explains</w:t>
            </w:r>
          </w:p>
        </w:tc>
        <w:tc>
          <w:tcPr>
            <w:tcW w:type="dxa" w:w="4234"/>
            <w:vAlign w:val="center"/>
            <w:shd w:fill="F2F5F8"/>
            <w:tcMar>
              <w:top w:w="65" w:type="dxa"/>
              <w:bottom w:w="65" w:type="dxa"/>
              <w:left w:w="95" w:type="dxa"/>
              <w:right w:w="95" w:type="dxa"/>
            </w:tcMar>
          </w:tcPr>
          <w:p>
            <w:pPr>
              <w:spacing w:line="254" w:lineRule="auto" w:after="40" w:before="40"/>
            </w:pPr>
            <w:r>
              <w:rPr>
                <w:sz w:val="21"/>
              </w:rPr>
              <w:t>Initial fixtures in Phase 0</w:t>
            </w:r>
          </w:p>
        </w:tc>
      </w:tr>
      <w:tr>
        <w:trPr>
          <w:cantSplit/>
        </w:trPr>
        <w:tc>
          <w:tcPr>
            <w:tcW w:type="dxa" w:w="1987"/>
            <w:vAlign w:val="center"/>
            <w:shd w:fill="FFFFFF"/>
            <w:tcMar>
              <w:top w:w="65" w:type="dxa"/>
              <w:bottom w:w="65" w:type="dxa"/>
              <w:left w:w="95" w:type="dxa"/>
              <w:right w:w="95" w:type="dxa"/>
            </w:tcMar>
          </w:tcPr>
          <w:p>
            <w:pPr>
              <w:spacing w:line="254" w:lineRule="auto" w:after="40" w:before="40"/>
            </w:pPr>
            <w:r>
              <w:rPr>
                <w:sz w:val="21"/>
              </w:rPr>
              <w:t>Pitch default</w:t>
            </w:r>
          </w:p>
        </w:tc>
        <w:tc>
          <w:tcPr>
            <w:tcW w:type="dxa" w:w="3859"/>
            <w:vAlign w:val="center"/>
            <w:shd w:fill="FFFFFF"/>
            <w:tcMar>
              <w:top w:w="65" w:type="dxa"/>
              <w:bottom w:w="65" w:type="dxa"/>
              <w:left w:w="95" w:type="dxa"/>
              <w:right w:w="95" w:type="dxa"/>
            </w:tcMar>
          </w:tcPr>
          <w:p>
            <w:pPr>
              <w:spacing w:line="254" w:lineRule="auto" w:after="40" w:before="40"/>
            </w:pPr>
            <w:r>
              <w:rPr>
                <w:sz w:val="21"/>
              </w:rPr>
              <w:t>Sa and contour, optional nearest degree, selected-note target</w:t>
            </w:r>
          </w:p>
        </w:tc>
        <w:tc>
          <w:tcPr>
            <w:tcW w:type="dxa" w:w="4234"/>
            <w:vAlign w:val="center"/>
            <w:shd w:fill="FFFFFF"/>
            <w:tcMar>
              <w:top w:w="65" w:type="dxa"/>
              <w:bottom w:w="65" w:type="dxa"/>
              <w:left w:w="95" w:type="dxa"/>
              <w:right w:w="95" w:type="dxa"/>
            </w:tcMar>
          </w:tcPr>
          <w:p>
            <w:pPr>
              <w:spacing w:line="254" w:lineRule="auto" w:after="40" w:before="40"/>
            </w:pPr>
            <w:r>
              <w:rPr>
                <w:sz w:val="21"/>
              </w:rPr>
              <w:t>G00 and pitch gates</w:t>
            </w:r>
          </w:p>
        </w:tc>
      </w:tr>
      <w:tr>
        <w:trPr>
          <w:cantSplit/>
        </w:trPr>
        <w:tc>
          <w:tcPr>
            <w:tcW w:type="dxa" w:w="1987"/>
            <w:vAlign w:val="center"/>
            <w:shd w:fill="F2F5F8"/>
            <w:tcMar>
              <w:top w:w="65" w:type="dxa"/>
              <w:bottom w:w="65" w:type="dxa"/>
              <w:left w:w="95" w:type="dxa"/>
              <w:right w:w="95" w:type="dxa"/>
            </w:tcMar>
          </w:tcPr>
          <w:p>
            <w:pPr>
              <w:spacing w:line="254" w:lineRule="auto" w:after="40" w:before="40"/>
            </w:pPr>
            <w:r>
              <w:rPr>
                <w:sz w:val="21"/>
              </w:rPr>
              <w:t>Advanced reference</w:t>
            </w:r>
          </w:p>
        </w:tc>
        <w:tc>
          <w:tcPr>
            <w:tcW w:type="dxa" w:w="3859"/>
            <w:vAlign w:val="center"/>
            <w:shd w:fill="F2F5F8"/>
            <w:tcMar>
              <w:top w:w="65" w:type="dxa"/>
              <w:bottom w:w="65" w:type="dxa"/>
              <w:left w:w="95" w:type="dxa"/>
              <w:right w:w="95" w:type="dxa"/>
            </w:tcMar>
          </w:tcPr>
          <w:p>
            <w:pPr>
              <w:spacing w:line="254" w:lineRule="auto" w:after="40" w:before="40"/>
            </w:pPr>
            <w:r>
              <w:rPr>
                <w:sz w:val="21"/>
              </w:rPr>
              <w:t>Timed monophonic MIDI; cents offsets hidden by default</w:t>
            </w:r>
          </w:p>
        </w:tc>
        <w:tc>
          <w:tcPr>
            <w:tcW w:type="dxa" w:w="4234"/>
            <w:vAlign w:val="center"/>
            <w:shd w:fill="F2F5F8"/>
            <w:tcMar>
              <w:top w:w="65" w:type="dxa"/>
              <w:bottom w:w="65" w:type="dxa"/>
              <w:left w:w="95" w:type="dxa"/>
              <w:right w:w="95" w:type="dxa"/>
            </w:tcMar>
          </w:tcPr>
          <w:p>
            <w:pPr>
              <w:spacing w:line="254" w:lineRule="auto" w:after="40" w:before="40"/>
            </w:pPr>
            <w:r>
              <w:rPr>
                <w:sz w:val="21"/>
              </w:rPr>
              <w:t>G07</w:t>
            </w:r>
          </w:p>
        </w:tc>
      </w:tr>
      <w:tr>
        <w:trPr>
          <w:cantSplit/>
        </w:trPr>
        <w:tc>
          <w:tcPr>
            <w:tcW w:type="dxa" w:w="1987"/>
            <w:vAlign w:val="center"/>
            <w:shd w:fill="FFFFFF"/>
            <w:tcMar>
              <w:top w:w="65" w:type="dxa"/>
              <w:bottom w:w="65" w:type="dxa"/>
              <w:left w:w="95" w:type="dxa"/>
              <w:right w:w="95" w:type="dxa"/>
            </w:tcMar>
          </w:tcPr>
          <w:p>
            <w:pPr>
              <w:spacing w:line="254" w:lineRule="auto" w:after="40" w:before="40"/>
            </w:pPr>
            <w:r>
              <w:rPr>
                <w:sz w:val="21"/>
              </w:rPr>
              <w:t>Audio-derived reference</w:t>
            </w:r>
          </w:p>
        </w:tc>
        <w:tc>
          <w:tcPr>
            <w:tcW w:type="dxa" w:w="3859"/>
            <w:vAlign w:val="center"/>
            <w:shd w:fill="FFFFFF"/>
            <w:tcMar>
              <w:top w:w="65" w:type="dxa"/>
              <w:bottom w:w="65" w:type="dxa"/>
              <w:left w:w="95" w:type="dxa"/>
              <w:right w:w="95" w:type="dxa"/>
            </w:tcMar>
          </w:tcPr>
          <w:p>
            <w:pPr>
              <w:spacing w:line="254" w:lineRule="auto" w:after="40" w:before="40"/>
            </w:pPr>
            <w:r>
              <w:rPr>
                <w:sz w:val="21"/>
              </w:rPr>
              <w:t>Separate discovery experiment; no launch dependency</w:t>
            </w:r>
          </w:p>
        </w:tc>
        <w:tc>
          <w:tcPr>
            <w:tcW w:type="dxa" w:w="4234"/>
            <w:vAlign w:val="center"/>
            <w:shd w:fill="FFFFFF"/>
            <w:tcMar>
              <w:top w:w="65" w:type="dxa"/>
              <w:bottom w:w="65" w:type="dxa"/>
              <w:left w:w="95" w:type="dxa"/>
              <w:right w:w="95" w:type="dxa"/>
            </w:tcMar>
          </w:tcPr>
          <w:p>
            <w:pPr>
              <w:spacing w:line="254" w:lineRule="auto" w:after="40" w:before="40"/>
            </w:pPr>
            <w:r>
              <w:rPr>
                <w:sz w:val="21"/>
              </w:rPr>
              <w:t>Additional qualification before promotion</w:t>
            </w:r>
          </w:p>
        </w:tc>
      </w:tr>
      <w:tr>
        <w:trPr>
          <w:cantSplit/>
        </w:trPr>
        <w:tc>
          <w:tcPr>
            <w:tcW w:type="dxa" w:w="1987"/>
            <w:vAlign w:val="center"/>
            <w:shd w:fill="F2F5F8"/>
            <w:tcMar>
              <w:top w:w="65" w:type="dxa"/>
              <w:bottom w:w="65" w:type="dxa"/>
              <w:left w:w="95" w:type="dxa"/>
              <w:right w:w="95" w:type="dxa"/>
            </w:tcMar>
          </w:tcPr>
          <w:p>
            <w:pPr>
              <w:spacing w:line="254" w:lineRule="auto" w:after="40" w:before="40"/>
            </w:pPr>
            <w:r>
              <w:rPr>
                <w:sz w:val="21"/>
              </w:rPr>
              <w:t>Recording monitor</w:t>
            </w:r>
          </w:p>
        </w:tc>
        <w:tc>
          <w:tcPr>
            <w:tcW w:type="dxa" w:w="3859"/>
            <w:vAlign w:val="center"/>
            <w:shd w:fill="F2F5F8"/>
            <w:tcMar>
              <w:top w:w="65" w:type="dxa"/>
              <w:bottom w:w="65" w:type="dxa"/>
              <w:left w:w="95" w:type="dxa"/>
              <w:right w:w="95" w:type="dxa"/>
            </w:tcMar>
          </w:tcPr>
          <w:p>
            <w:pPr>
              <w:spacing w:line="254" w:lineRule="auto" w:after="40" w:before="40"/>
            </w:pPr>
            <w:r>
              <w:rPr>
                <w:sz w:val="21"/>
              </w:rPr>
              <w:t>Qualified hardware direct monitoring</w:t>
            </w:r>
          </w:p>
        </w:tc>
        <w:tc>
          <w:tcPr>
            <w:tcW w:type="dxa" w:w="4234"/>
            <w:vAlign w:val="center"/>
            <w:shd w:fill="F2F5F8"/>
            <w:tcMar>
              <w:top w:w="65" w:type="dxa"/>
              <w:bottom w:w="65" w:type="dxa"/>
              <w:left w:w="95" w:type="dxa"/>
              <w:right w:w="95" w:type="dxa"/>
            </w:tcMar>
          </w:tcPr>
          <w:p>
            <w:pPr>
              <w:spacing w:line="254" w:lineRule="auto" w:after="40" w:before="40"/>
            </w:pPr>
            <w:r>
              <w:rPr>
                <w:sz w:val="21"/>
              </w:rPr>
              <w:t>G02; software path additionally needs G02-SW</w:t>
            </w:r>
          </w:p>
        </w:tc>
      </w:tr>
      <w:tr>
        <w:trPr>
          <w:cantSplit/>
        </w:trPr>
        <w:tc>
          <w:tcPr>
            <w:tcW w:type="dxa" w:w="1987"/>
            <w:vAlign w:val="center"/>
            <w:shd w:fill="FFFFFF"/>
            <w:tcMar>
              <w:top w:w="65" w:type="dxa"/>
              <w:bottom w:w="65" w:type="dxa"/>
              <w:left w:w="95" w:type="dxa"/>
              <w:right w:w="95" w:type="dxa"/>
            </w:tcMar>
          </w:tcPr>
          <w:p>
            <w:pPr>
              <w:spacing w:line="254" w:lineRule="auto" w:after="40" w:before="40"/>
            </w:pPr>
            <w:r>
              <w:rPr>
                <w:sz w:val="21"/>
              </w:rPr>
              <w:t>Runtime and model</w:t>
            </w:r>
          </w:p>
        </w:tc>
        <w:tc>
          <w:tcPr>
            <w:tcW w:type="dxa" w:w="3859"/>
            <w:vAlign w:val="center"/>
            <w:shd w:fill="FFFFFF"/>
            <w:tcMar>
              <w:top w:w="65" w:type="dxa"/>
              <w:bottom w:w="65" w:type="dxa"/>
              <w:left w:w="95" w:type="dxa"/>
              <w:right w:w="95" w:type="dxa"/>
            </w:tcMar>
          </w:tcPr>
          <w:p>
            <w:pPr>
              <w:spacing w:line="254" w:lineRule="auto" w:after="40" w:before="40"/>
            </w:pPr>
            <w:r>
              <w:rPr>
                <w:sz w:val="21"/>
              </w:rPr>
              <w:t>Benchmark-led choice, packaged locally</w:t>
            </w:r>
          </w:p>
        </w:tc>
        <w:tc>
          <w:tcPr>
            <w:tcW w:type="dxa" w:w="4234"/>
            <w:vAlign w:val="center"/>
            <w:shd w:fill="FFFFFF"/>
            <w:tcMar>
              <w:top w:w="65" w:type="dxa"/>
              <w:bottom w:w="65" w:type="dxa"/>
              <w:left w:w="95" w:type="dxa"/>
              <w:right w:w="95" w:type="dxa"/>
            </w:tcMar>
          </w:tcPr>
          <w:p>
            <w:pPr>
              <w:spacing w:line="254" w:lineRule="auto" w:after="40" w:before="40"/>
            </w:pPr>
            <w:r>
              <w:rPr>
                <w:sz w:val="21"/>
              </w:rPr>
              <w:t>Phase 0</w:t>
            </w:r>
          </w:p>
        </w:tc>
      </w:tr>
      <w:tr>
        <w:trPr>
          <w:cantSplit/>
        </w:trPr>
        <w:tc>
          <w:tcPr>
            <w:tcW w:type="dxa" w:w="1987"/>
            <w:vAlign w:val="center"/>
            <w:shd w:fill="F2F5F8"/>
            <w:tcMar>
              <w:top w:w="65" w:type="dxa"/>
              <w:bottom w:w="65" w:type="dxa"/>
              <w:left w:w="95" w:type="dxa"/>
              <w:right w:w="95" w:type="dxa"/>
            </w:tcMar>
          </w:tcPr>
          <w:p>
            <w:pPr>
              <w:spacing w:line="254" w:lineRule="auto" w:after="40" w:before="40"/>
            </w:pPr>
            <w:r>
              <w:rPr>
                <w:sz w:val="21"/>
              </w:rPr>
              <w:t>Cloud model</w:t>
            </w:r>
          </w:p>
        </w:tc>
        <w:tc>
          <w:tcPr>
            <w:tcW w:type="dxa" w:w="3859"/>
            <w:vAlign w:val="center"/>
            <w:shd w:fill="F2F5F8"/>
            <w:tcMar>
              <w:top w:w="65" w:type="dxa"/>
              <w:bottom w:w="65" w:type="dxa"/>
              <w:left w:w="95" w:type="dxa"/>
              <w:right w:w="95" w:type="dxa"/>
            </w:tcMar>
          </w:tcPr>
          <w:p>
            <w:pPr>
              <w:spacing w:line="254" w:lineRule="auto" w:after="40" w:before="40"/>
            </w:pPr>
            <w:r>
              <w:rPr>
                <w:sz w:val="21"/>
              </w:rPr>
              <w:t>One replaceable text-only adapter</w:t>
            </w:r>
          </w:p>
        </w:tc>
        <w:tc>
          <w:tcPr>
            <w:tcW w:type="dxa" w:w="4234"/>
            <w:vAlign w:val="center"/>
            <w:shd w:fill="F2F5F8"/>
            <w:tcMar>
              <w:top w:w="65" w:type="dxa"/>
              <w:bottom w:w="65" w:type="dxa"/>
              <w:left w:w="95" w:type="dxa"/>
              <w:right w:w="95" w:type="dxa"/>
            </w:tcMar>
          </w:tcPr>
          <w:p>
            <w:pPr>
              <w:spacing w:line="254" w:lineRule="auto" w:after="40" w:before="40"/>
            </w:pPr>
            <w:r>
              <w:rPr>
                <w:sz w:val="21"/>
              </w:rPr>
              <w:t>Verify terms, rates and intent reliability</w:t>
            </w:r>
          </w:p>
        </w:tc>
      </w:tr>
      <w:tr>
        <w:trPr>
          <w:cantSplit/>
        </w:trPr>
        <w:tc>
          <w:tcPr>
            <w:tcW w:type="dxa" w:w="1987"/>
            <w:vAlign w:val="center"/>
            <w:shd w:fill="FFFFFF"/>
            <w:tcMar>
              <w:top w:w="65" w:type="dxa"/>
              <w:bottom w:w="65" w:type="dxa"/>
              <w:left w:w="95" w:type="dxa"/>
              <w:right w:w="95" w:type="dxa"/>
            </w:tcMar>
          </w:tcPr>
          <w:p>
            <w:pPr>
              <w:spacing w:line="254" w:lineRule="auto" w:after="40" w:before="40"/>
            </w:pPr>
            <w:r>
              <w:rPr>
                <w:sz w:val="21"/>
              </w:rPr>
              <w:t>Licence and pricing</w:t>
            </w:r>
          </w:p>
        </w:tc>
        <w:tc>
          <w:tcPr>
            <w:tcW w:type="dxa" w:w="3859"/>
            <w:vAlign w:val="center"/>
            <w:shd w:fill="FFFFFF"/>
            <w:tcMar>
              <w:top w:w="65" w:type="dxa"/>
              <w:bottom w:w="65" w:type="dxa"/>
              <w:left w:w="95" w:type="dxa"/>
              <w:right w:w="95" w:type="dxa"/>
            </w:tcMar>
          </w:tcPr>
          <w:p>
            <w:pPr>
              <w:spacing w:line="254" w:lineRule="auto" w:after="40" w:before="40"/>
            </w:pPr>
            <w:r>
              <w:rPr>
                <w:sz w:val="21"/>
              </w:rPr>
              <w:t>Open-source versus open-core and commercial terms unresolved</w:t>
            </w:r>
          </w:p>
        </w:tc>
        <w:tc>
          <w:tcPr>
            <w:tcW w:type="dxa" w:w="4234"/>
            <w:vAlign w:val="center"/>
            <w:shd w:fill="FFFFFF"/>
            <w:tcMar>
              <w:top w:w="65" w:type="dxa"/>
              <w:bottom w:w="65" w:type="dxa"/>
              <w:left w:w="95" w:type="dxa"/>
              <w:right w:w="95" w:type="dxa"/>
            </w:tcMar>
          </w:tcPr>
          <w:p>
            <w:pPr>
              <w:spacing w:line="254" w:lineRule="auto" w:after="40" w:before="40"/>
            </w:pPr>
            <w:r>
              <w:rPr>
                <w:sz w:val="21"/>
              </w:rPr>
              <w:t>Before external distribution or paid pilot</w:t>
            </w:r>
          </w:p>
        </w:tc>
      </w:tr>
      <w:tr>
        <w:trPr>
          <w:cantSplit/>
        </w:trPr>
        <w:tc>
          <w:tcPr>
            <w:tcW w:type="dxa" w:w="1987"/>
            <w:vAlign w:val="center"/>
            <w:shd w:fill="F2F5F8"/>
            <w:tcMar>
              <w:top w:w="65" w:type="dxa"/>
              <w:bottom w:w="65" w:type="dxa"/>
              <w:left w:w="95" w:type="dxa"/>
              <w:right w:w="95" w:type="dxa"/>
            </w:tcMar>
          </w:tcPr>
          <w:p>
            <w:pPr>
              <w:spacing w:line="254" w:lineRule="auto" w:after="40" w:before="40"/>
            </w:pPr>
            <w:r>
              <w:rPr>
                <w:sz w:val="21"/>
              </w:rPr>
              <w:t>Product name</w:t>
            </w:r>
          </w:p>
        </w:tc>
        <w:tc>
          <w:tcPr>
            <w:tcW w:type="dxa" w:w="3859"/>
            <w:vAlign w:val="center"/>
            <w:shd w:fill="F2F5F8"/>
            <w:tcMar>
              <w:top w:w="65" w:type="dxa"/>
              <w:bottom w:w="65" w:type="dxa"/>
              <w:left w:w="95" w:type="dxa"/>
              <w:right w:w="95" w:type="dxa"/>
            </w:tcMar>
          </w:tcPr>
          <w:p>
            <w:pPr>
              <w:spacing w:line="254" w:lineRule="auto" w:after="40" w:before="40"/>
            </w:pPr>
            <w:r>
              <w:rPr>
                <w:sz w:val="21"/>
              </w:rPr>
              <w:t>SoundCraft-AI working name</w:t>
            </w:r>
          </w:p>
        </w:tc>
        <w:tc>
          <w:tcPr>
            <w:tcW w:type="dxa" w:w="4234"/>
            <w:vAlign w:val="center"/>
            <w:shd w:fill="F2F5F8"/>
            <w:tcMar>
              <w:top w:w="65" w:type="dxa"/>
              <w:bottom w:w="65" w:type="dxa"/>
              <w:left w:w="95" w:type="dxa"/>
              <w:right w:w="95" w:type="dxa"/>
            </w:tcMar>
          </w:tcPr>
          <w:p>
            <w:pPr>
              <w:spacing w:line="254" w:lineRule="auto" w:after="40" w:before="40"/>
            </w:pPr>
            <w:r>
              <w:rPr>
                <w:sz w:val="21"/>
              </w:rPr>
              <w:t>Branding and name review</w:t>
            </w:r>
          </w:p>
        </w:tc>
      </w:tr>
    </w:tbl>
    <w:p>
      <w:pPr>
        <w:spacing w:after="40" w:before="0" w:line="240" w:lineRule="auto"/>
      </w:pPr>
      <w:r>
        <w:rPr>
          <w:sz w:val="4"/>
        </w:rPr>
      </w:r>
    </w:p>
    <w:p>
      <w:pPr>
        <w:pStyle w:val="Heading2"/>
      </w:pPr>
      <w:r>
        <w:t>14.2 Principal risks and responses</w:t>
      </w:r>
    </w:p>
    <w:p>
      <w:r>
        <w:t>An implemented upstream feature may remain unreliable, and its documentation may lag the source. Maintain the three evidence levels in section 3 and qualify the packaged build. Preserve narrow patches and workflow regression tests when considering upstream updates.</w:t>
      </w:r>
    </w:p>
    <w:p>
      <w:r>
        <w:t>Product adoption is uncertain because artists already use other recording software. G00 tests useful feedback and processing with imported audio before migration is required. G11 establishes whether the integrated workflow is usable repeatedly. Neither makes the assistant commercially distinctive by itself.</w:t>
      </w:r>
    </w:p>
    <w:p>
      <w:r>
        <w:t>Pitch estimators may fail on low registers, breathiness, slides and ornamentation. Report uncertainty and condition-specific scores. A larger corpus improves coverage but does not guarantee generalisation; expand evidence before expanding claims.</w:t>
      </w:r>
    </w:p>
    <w:p>
      <w:r>
        <w:t>Deterministic processing can be consistent and still sound poor. Measure technical behaviour, use level-matched listening and allow no change. Avoid building increasingly elaborate safety or recommendation infrastructure before the relevant user benefit has passed its discovery check.</w:t>
      </w:r>
    </w:p>
    <w:p>
      <w:r>
        <w:t>Hardware direct monitoring lowers the initial dependency on app monitoring performance but limits live audition of app effects. Publish that tradeoff. Preserve recording alignment and recovery requirements regardless of monitoring mode.</w:t>
      </w:r>
    </w:p>
    <w:p>
      <w:pPr>
        <w:pStyle w:val="Heading2"/>
      </w:pPr>
      <w:r>
        <w:t>14.3 Distribution checklist</w:t>
      </w:r>
    </w:p>
    <w:p>
      <w:r>
        <w:t>Before release, inventory source, dependencies, model weights, evaluation recordings and bundled assets with their licences and notices. Verify permission to redistribute and use each model commercially if commercial distribution is chosen.</w:t>
      </w:r>
    </w:p>
    <w:p>
      <w:r>
        <w:t>Upstream describes MIT or Apache-2.0 code licensing while branding and some assets have separate terms. Its README requires modified forks to remove ArtCraft branding. Follow the actual applicable terms and retain required notices; the code licence does not settle branding permissions. [S6]</w:t>
      </w:r>
    </w:p>
    <w:p>
      <w:r>
        <w:t>Publish supported workflows, hardware and software versions, known limitations, privacy behaviour, inference cost ownership and recovery instructions. Never describe an unqualified feature as available merely because upstream exposes its menu.</w:t>
      </w:r>
    </w:p>
    <w:p>
      <w:pPr>
        <w:pStyle w:val="Heading1"/>
      </w:pPr>
      <w:r>
        <w:t>15 Traceability and completion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1944"/>
        <w:gridCol w:w="2131"/>
        <w:gridCol w:w="3053"/>
      </w:tblGrid>
      <w:tr>
        <w:trPr>
          <w:cantSplit/>
          <w:tblHeader/>
        </w:trPr>
        <w:tc>
          <w:tcPr>
            <w:tcW w:type="dxa" w:w="2952"/>
            <w:vAlign w:val="center"/>
            <w:shd w:fill="243B53"/>
            <w:tcMar>
              <w:top w:w="65" w:type="dxa"/>
              <w:bottom w:w="65" w:type="dxa"/>
              <w:left w:w="95" w:type="dxa"/>
              <w:right w:w="95" w:type="dxa"/>
            </w:tcMar>
          </w:tcPr>
          <w:p>
            <w:pPr>
              <w:spacing w:line="254" w:lineRule="auto" w:after="40" w:before="40"/>
            </w:pPr>
            <w:r>
              <w:rPr>
                <w:b/>
                <w:color w:val="FFFFFF"/>
                <w:sz w:val="21"/>
              </w:rPr>
              <w:t>Scope</w:t>
            </w:r>
          </w:p>
        </w:tc>
        <w:tc>
          <w:tcPr>
            <w:tcW w:type="dxa" w:w="1944"/>
            <w:vAlign w:val="center"/>
            <w:shd w:fill="243B53"/>
            <w:tcMar>
              <w:top w:w="65" w:type="dxa"/>
              <w:bottom w:w="65" w:type="dxa"/>
              <w:left w:w="95" w:type="dxa"/>
              <w:right w:w="95" w:type="dxa"/>
            </w:tcMar>
          </w:tcPr>
          <w:p>
            <w:pPr>
              <w:spacing w:line="254" w:lineRule="auto" w:after="40" w:before="40"/>
            </w:pPr>
            <w:r>
              <w:rPr>
                <w:b/>
                <w:color w:val="FFFFFF"/>
                <w:sz w:val="21"/>
              </w:rPr>
              <w:t>Requirements</w:t>
            </w:r>
          </w:p>
        </w:tc>
        <w:tc>
          <w:tcPr>
            <w:tcW w:type="dxa" w:w="2131"/>
            <w:vAlign w:val="center"/>
            <w:shd w:fill="243B53"/>
            <w:tcMar>
              <w:top w:w="65" w:type="dxa"/>
              <w:bottom w:w="65" w:type="dxa"/>
              <w:left w:w="95" w:type="dxa"/>
              <w:right w:w="95" w:type="dxa"/>
            </w:tcMar>
          </w:tcPr>
          <w:p>
            <w:pPr>
              <w:spacing w:line="254" w:lineRule="auto" w:after="40" w:before="40"/>
            </w:pPr>
            <w:r>
              <w:rPr>
                <w:b/>
                <w:color w:val="FFFFFF"/>
                <w:sz w:val="21"/>
              </w:rPr>
              <w:t>Main gates</w:t>
            </w:r>
          </w:p>
        </w:tc>
        <w:tc>
          <w:tcPr>
            <w:tcW w:type="dxa" w:w="3053"/>
            <w:vAlign w:val="center"/>
            <w:shd w:fill="243B53"/>
            <w:tcMar>
              <w:top w:w="65" w:type="dxa"/>
              <w:bottom w:w="65" w:type="dxa"/>
              <w:left w:w="95" w:type="dxa"/>
              <w:right w:w="95" w:type="dxa"/>
            </w:tcMar>
          </w:tcPr>
          <w:p>
            <w:pPr>
              <w:spacing w:line="254" w:lineRule="auto" w:after="40" w:before="40"/>
            </w:pPr>
            <w:r>
              <w:rPr>
                <w:b/>
                <w:color w:val="FFFFFF"/>
                <w:sz w:val="21"/>
              </w:rPr>
              <w:t>Delivery milestone</w:t>
            </w:r>
          </w:p>
        </w:tc>
      </w:tr>
      <w:tr>
        <w:trPr>
          <w:cantSplit/>
        </w:trPr>
        <w:tc>
          <w:tcPr>
            <w:tcW w:type="dxa" w:w="2952"/>
            <w:vAlign w:val="center"/>
            <w:shd w:fill="F2F5F8"/>
            <w:tcMar>
              <w:top w:w="65" w:type="dxa"/>
              <w:bottom w:w="65" w:type="dxa"/>
              <w:left w:w="95" w:type="dxa"/>
              <w:right w:w="95" w:type="dxa"/>
            </w:tcMar>
          </w:tcPr>
          <w:p>
            <w:pPr>
              <w:spacing w:line="254" w:lineRule="auto" w:after="40" w:before="40"/>
            </w:pPr>
            <w:r>
              <w:rPr>
                <w:sz w:val="21"/>
              </w:rPr>
              <w:t>Initial usefulness</w:t>
            </w:r>
          </w:p>
        </w:tc>
        <w:tc>
          <w:tcPr>
            <w:tcW w:type="dxa" w:w="1944"/>
            <w:vAlign w:val="center"/>
            <w:shd w:fill="F2F5F8"/>
            <w:tcMar>
              <w:top w:w="65" w:type="dxa"/>
              <w:bottom w:w="65" w:type="dxa"/>
              <w:left w:w="95" w:type="dxa"/>
              <w:right w:w="95" w:type="dxa"/>
            </w:tcMar>
          </w:tcPr>
          <w:p>
            <w:pPr>
              <w:spacing w:line="254" w:lineRule="auto" w:after="40" w:before="40"/>
            </w:pPr>
            <w:r>
              <w:rPr>
                <w:sz w:val="21"/>
              </w:rPr>
              <w:t>Product hypothesis and section 12.4</w:t>
            </w:r>
          </w:p>
        </w:tc>
        <w:tc>
          <w:tcPr>
            <w:tcW w:type="dxa" w:w="2131"/>
            <w:vAlign w:val="center"/>
            <w:shd w:fill="F2F5F8"/>
            <w:tcMar>
              <w:top w:w="65" w:type="dxa"/>
              <w:bottom w:w="65" w:type="dxa"/>
              <w:left w:w="95" w:type="dxa"/>
              <w:right w:w="95" w:type="dxa"/>
            </w:tcMar>
          </w:tcPr>
          <w:p>
            <w:pPr>
              <w:spacing w:line="254" w:lineRule="auto" w:after="40" w:before="40"/>
            </w:pPr>
            <w:r>
              <w:rPr>
                <w:sz w:val="21"/>
              </w:rPr>
              <w:t>G00</w:t>
            </w:r>
          </w:p>
        </w:tc>
        <w:tc>
          <w:tcPr>
            <w:tcW w:type="dxa" w:w="3053"/>
            <w:vAlign w:val="center"/>
            <w:shd w:fill="F2F5F8"/>
            <w:tcMar>
              <w:top w:w="65" w:type="dxa"/>
              <w:bottom w:w="65" w:type="dxa"/>
              <w:left w:w="95" w:type="dxa"/>
              <w:right w:w="95" w:type="dxa"/>
            </w:tcMar>
          </w:tcPr>
          <w:p>
            <w:pPr>
              <w:spacing w:line="254" w:lineRule="auto" w:after="40" w:before="40"/>
            </w:pPr>
            <w:r>
              <w:rPr>
                <w:sz w:val="21"/>
              </w:rPr>
              <w:t>Discovery</w:t>
            </w:r>
          </w:p>
        </w:tc>
      </w:tr>
      <w:tr>
        <w:trPr>
          <w:cantSplit/>
        </w:trPr>
        <w:tc>
          <w:tcPr>
            <w:tcW w:type="dxa" w:w="2952"/>
            <w:vAlign w:val="center"/>
            <w:shd w:fill="FFFFFF"/>
            <w:tcMar>
              <w:top w:w="65" w:type="dxa"/>
              <w:bottom w:w="65" w:type="dxa"/>
              <w:left w:w="95" w:type="dxa"/>
              <w:right w:w="95" w:type="dxa"/>
            </w:tcMar>
          </w:tcPr>
          <w:p>
            <w:pPr>
              <w:spacing w:line="254" w:lineRule="auto" w:after="40" w:before="40"/>
            </w:pPr>
            <w:r>
              <w:rPr>
                <w:sz w:val="21"/>
              </w:rPr>
              <w:t>Session inspection and planning</w:t>
            </w:r>
          </w:p>
        </w:tc>
        <w:tc>
          <w:tcPr>
            <w:tcW w:type="dxa" w:w="1944"/>
            <w:vAlign w:val="center"/>
            <w:shd w:fill="FFFFFF"/>
            <w:tcMar>
              <w:top w:w="65" w:type="dxa"/>
              <w:bottom w:w="65" w:type="dxa"/>
              <w:left w:w="95" w:type="dxa"/>
              <w:right w:w="95" w:type="dxa"/>
            </w:tcMar>
          </w:tcPr>
          <w:p>
            <w:pPr>
              <w:spacing w:line="254" w:lineRule="auto" w:after="40" w:before="40"/>
            </w:pPr>
            <w:r>
              <w:rPr>
                <w:sz w:val="21"/>
              </w:rPr>
              <w:t>FR-01, FR-02</w:t>
            </w:r>
          </w:p>
        </w:tc>
        <w:tc>
          <w:tcPr>
            <w:tcW w:type="dxa" w:w="2131"/>
            <w:vAlign w:val="center"/>
            <w:shd w:fill="FFFFFF"/>
            <w:tcMar>
              <w:top w:w="65" w:type="dxa"/>
              <w:bottom w:w="65" w:type="dxa"/>
              <w:left w:w="95" w:type="dxa"/>
              <w:right w:w="95" w:type="dxa"/>
            </w:tcMar>
          </w:tcPr>
          <w:p>
            <w:pPr>
              <w:spacing w:line="254" w:lineRule="auto" w:after="40" w:before="40"/>
            </w:pPr>
            <w:r>
              <w:rPr>
                <w:sz w:val="21"/>
              </w:rPr>
              <w:t>G03, G04</w:t>
            </w:r>
          </w:p>
        </w:tc>
        <w:tc>
          <w:tcPr>
            <w:tcW w:type="dxa" w:w="3053"/>
            <w:vAlign w:val="center"/>
            <w:shd w:fill="FFFFFF"/>
            <w:tcMar>
              <w:top w:w="65" w:type="dxa"/>
              <w:bottom w:w="65" w:type="dxa"/>
              <w:left w:w="95" w:type="dxa"/>
              <w:right w:w="95" w:type="dxa"/>
            </w:tcMar>
          </w:tcPr>
          <w:p>
            <w:pPr>
              <w:spacing w:line="254" w:lineRule="auto" w:after="40" w:before="40"/>
            </w:pPr>
            <w:r>
              <w:rPr>
                <w:sz w:val="21"/>
              </w:rPr>
              <w:t>Integrated prototype</w:t>
            </w:r>
          </w:p>
        </w:tc>
      </w:tr>
      <w:tr>
        <w:trPr>
          <w:cantSplit/>
        </w:trPr>
        <w:tc>
          <w:tcPr>
            <w:tcW w:type="dxa" w:w="2952"/>
            <w:vAlign w:val="center"/>
            <w:shd w:fill="F2F5F8"/>
            <w:tcMar>
              <w:top w:w="65" w:type="dxa"/>
              <w:bottom w:w="65" w:type="dxa"/>
              <w:left w:w="95" w:type="dxa"/>
              <w:right w:w="95" w:type="dxa"/>
            </w:tcMar>
          </w:tcPr>
          <w:p>
            <w:pPr>
              <w:spacing w:line="254" w:lineRule="auto" w:after="40" w:before="40"/>
            </w:pPr>
            <w:r>
              <w:rPr>
                <w:sz w:val="21"/>
              </w:rPr>
              <w:t>Pitch without MIDI and advanced reference</w:t>
            </w:r>
          </w:p>
        </w:tc>
        <w:tc>
          <w:tcPr>
            <w:tcW w:type="dxa" w:w="1944"/>
            <w:vAlign w:val="center"/>
            <w:shd w:fill="F2F5F8"/>
            <w:tcMar>
              <w:top w:w="65" w:type="dxa"/>
              <w:bottom w:w="65" w:type="dxa"/>
              <w:left w:w="95" w:type="dxa"/>
              <w:right w:w="95" w:type="dxa"/>
            </w:tcMar>
          </w:tcPr>
          <w:p>
            <w:pPr>
              <w:spacing w:line="254" w:lineRule="auto" w:after="40" w:before="40"/>
            </w:pPr>
            <w:r>
              <w:rPr>
                <w:sz w:val="21"/>
              </w:rPr>
              <w:t>FR-03</w:t>
            </w:r>
          </w:p>
        </w:tc>
        <w:tc>
          <w:tcPr>
            <w:tcW w:type="dxa" w:w="2131"/>
            <w:vAlign w:val="center"/>
            <w:shd w:fill="F2F5F8"/>
            <w:tcMar>
              <w:top w:w="65" w:type="dxa"/>
              <w:bottom w:w="65" w:type="dxa"/>
              <w:left w:w="95" w:type="dxa"/>
              <w:right w:w="95" w:type="dxa"/>
            </w:tcMar>
          </w:tcPr>
          <w:p>
            <w:pPr>
              <w:spacing w:line="254" w:lineRule="auto" w:after="40" w:before="40"/>
            </w:pPr>
            <w:r>
              <w:rPr>
                <w:sz w:val="21"/>
              </w:rPr>
              <w:t>G06, G07</w:t>
            </w:r>
          </w:p>
        </w:tc>
        <w:tc>
          <w:tcPr>
            <w:tcW w:type="dxa" w:w="3053"/>
            <w:vAlign w:val="center"/>
            <w:shd w:fill="F2F5F8"/>
            <w:tcMar>
              <w:top w:w="65" w:type="dxa"/>
              <w:bottom w:w="65" w:type="dxa"/>
              <w:left w:w="95" w:type="dxa"/>
              <w:right w:w="95" w:type="dxa"/>
            </w:tcMar>
          </w:tcPr>
          <w:p>
            <w:pPr>
              <w:spacing w:line="254" w:lineRule="auto" w:after="40" w:before="40"/>
            </w:pPr>
            <w:r>
              <w:rPr>
                <w:sz w:val="21"/>
              </w:rPr>
              <w:t>Vocal qualification</w:t>
            </w:r>
          </w:p>
        </w:tc>
      </w:tr>
      <w:tr>
        <w:trPr>
          <w:cantSplit/>
        </w:trPr>
        <w:tc>
          <w:tcPr>
            <w:tcW w:type="dxa" w:w="2952"/>
            <w:vAlign w:val="center"/>
            <w:shd w:fill="FFFFFF"/>
            <w:tcMar>
              <w:top w:w="65" w:type="dxa"/>
              <w:bottom w:w="65" w:type="dxa"/>
              <w:left w:w="95" w:type="dxa"/>
              <w:right w:w="95" w:type="dxa"/>
            </w:tcMar>
          </w:tcPr>
          <w:p>
            <w:pPr>
              <w:spacing w:line="254" w:lineRule="auto" w:after="40" w:before="40"/>
            </w:pPr>
            <w:r>
              <w:rPr>
                <w:sz w:val="21"/>
              </w:rPr>
              <w:t>Local policy and audition</w:t>
            </w:r>
          </w:p>
        </w:tc>
        <w:tc>
          <w:tcPr>
            <w:tcW w:type="dxa" w:w="1944"/>
            <w:vAlign w:val="center"/>
            <w:shd w:fill="FFFFFF"/>
            <w:tcMar>
              <w:top w:w="65" w:type="dxa"/>
              <w:bottom w:w="65" w:type="dxa"/>
              <w:left w:w="95" w:type="dxa"/>
              <w:right w:w="95" w:type="dxa"/>
            </w:tcMar>
          </w:tcPr>
          <w:p>
            <w:pPr>
              <w:spacing w:line="254" w:lineRule="auto" w:after="40" w:before="40"/>
            </w:pPr>
            <w:r>
              <w:rPr>
                <w:sz w:val="21"/>
              </w:rPr>
              <w:t>FR-04, FR-12</w:t>
            </w:r>
          </w:p>
        </w:tc>
        <w:tc>
          <w:tcPr>
            <w:tcW w:type="dxa" w:w="2131"/>
            <w:vAlign w:val="center"/>
            <w:shd w:fill="FFFFFF"/>
            <w:tcMar>
              <w:top w:w="65" w:type="dxa"/>
              <w:bottom w:w="65" w:type="dxa"/>
              <w:left w:w="95" w:type="dxa"/>
              <w:right w:w="95" w:type="dxa"/>
            </w:tcMar>
          </w:tcPr>
          <w:p>
            <w:pPr>
              <w:spacing w:line="254" w:lineRule="auto" w:after="40" w:before="40"/>
            </w:pPr>
            <w:r>
              <w:rPr>
                <w:sz w:val="21"/>
              </w:rPr>
              <w:t>G05, G08, G11</w:t>
            </w:r>
          </w:p>
        </w:tc>
        <w:tc>
          <w:tcPr>
            <w:tcW w:type="dxa" w:w="3053"/>
            <w:vAlign w:val="center"/>
            <w:shd w:fill="FFFFFF"/>
            <w:tcMar>
              <w:top w:w="65" w:type="dxa"/>
              <w:bottom w:w="65" w:type="dxa"/>
              <w:left w:w="95" w:type="dxa"/>
              <w:right w:w="95" w:type="dxa"/>
            </w:tcMar>
          </w:tcPr>
          <w:p>
            <w:pPr>
              <w:spacing w:line="254" w:lineRule="auto" w:after="40" w:before="40"/>
            </w:pPr>
            <w:r>
              <w:rPr>
                <w:sz w:val="21"/>
              </w:rPr>
              <w:t>Prototype and qualification</w:t>
            </w:r>
          </w:p>
        </w:tc>
      </w:tr>
      <w:tr>
        <w:trPr>
          <w:cantSplit/>
        </w:trPr>
        <w:tc>
          <w:tcPr>
            <w:tcW w:type="dxa" w:w="2952"/>
            <w:vAlign w:val="center"/>
            <w:shd w:fill="F2F5F8"/>
            <w:tcMar>
              <w:top w:w="65" w:type="dxa"/>
              <w:bottom w:w="65" w:type="dxa"/>
              <w:left w:w="95" w:type="dxa"/>
              <w:right w:w="95" w:type="dxa"/>
            </w:tcMar>
          </w:tcPr>
          <w:p>
            <w:pPr>
              <w:spacing w:line="254" w:lineRule="auto" w:after="40" w:before="40"/>
            </w:pPr>
            <w:r>
              <w:rPr>
                <w:sz w:val="21"/>
              </w:rPr>
              <w:t>History and project integrity</w:t>
            </w:r>
          </w:p>
        </w:tc>
        <w:tc>
          <w:tcPr>
            <w:tcW w:type="dxa" w:w="1944"/>
            <w:vAlign w:val="center"/>
            <w:shd w:fill="F2F5F8"/>
            <w:tcMar>
              <w:top w:w="65" w:type="dxa"/>
              <w:bottom w:w="65" w:type="dxa"/>
              <w:left w:w="95" w:type="dxa"/>
              <w:right w:w="95" w:type="dxa"/>
            </w:tcMar>
          </w:tcPr>
          <w:p>
            <w:pPr>
              <w:spacing w:line="254" w:lineRule="auto" w:after="40" w:before="40"/>
            </w:pPr>
            <w:r>
              <w:rPr>
                <w:sz w:val="21"/>
              </w:rPr>
              <w:t>FR-10, FR-11</w:t>
            </w:r>
          </w:p>
        </w:tc>
        <w:tc>
          <w:tcPr>
            <w:tcW w:type="dxa" w:w="2131"/>
            <w:vAlign w:val="center"/>
            <w:shd w:fill="F2F5F8"/>
            <w:tcMar>
              <w:top w:w="65" w:type="dxa"/>
              <w:bottom w:w="65" w:type="dxa"/>
              <w:left w:w="95" w:type="dxa"/>
              <w:right w:w="95" w:type="dxa"/>
            </w:tcMar>
          </w:tcPr>
          <w:p>
            <w:pPr>
              <w:spacing w:line="254" w:lineRule="auto" w:after="40" w:before="40"/>
            </w:pPr>
            <w:r>
              <w:rPr>
                <w:sz w:val="21"/>
              </w:rPr>
              <w:t>G01, G04, G09</w:t>
            </w:r>
          </w:p>
        </w:tc>
        <w:tc>
          <w:tcPr>
            <w:tcW w:type="dxa" w:w="3053"/>
            <w:vAlign w:val="center"/>
            <w:shd w:fill="F2F5F8"/>
            <w:tcMar>
              <w:top w:w="65" w:type="dxa"/>
              <w:bottom w:w="65" w:type="dxa"/>
              <w:left w:w="95" w:type="dxa"/>
              <w:right w:w="95" w:type="dxa"/>
            </w:tcMar>
          </w:tcPr>
          <w:p>
            <w:pPr>
              <w:spacing w:line="254" w:lineRule="auto" w:after="40" w:before="40"/>
            </w:pPr>
            <w:r>
              <w:rPr>
                <w:sz w:val="21"/>
              </w:rPr>
              <w:t>Prototype and early access</w:t>
            </w:r>
          </w:p>
        </w:tc>
      </w:tr>
      <w:tr>
        <w:trPr>
          <w:cantSplit/>
        </w:trPr>
        <w:tc>
          <w:tcPr>
            <w:tcW w:type="dxa" w:w="2952"/>
            <w:vAlign w:val="center"/>
            <w:shd w:fill="FFFFFF"/>
            <w:tcMar>
              <w:top w:w="65" w:type="dxa"/>
              <w:bottom w:w="65" w:type="dxa"/>
              <w:left w:w="95" w:type="dxa"/>
              <w:right w:w="95" w:type="dxa"/>
            </w:tcMar>
          </w:tcPr>
          <w:p>
            <w:pPr>
              <w:spacing w:line="254" w:lineRule="auto" w:after="40" w:before="40"/>
            </w:pPr>
            <w:r>
              <w:rPr>
                <w:sz w:val="21"/>
              </w:rPr>
              <w:t>Recording and declared monitoring</w:t>
            </w:r>
          </w:p>
        </w:tc>
        <w:tc>
          <w:tcPr>
            <w:tcW w:type="dxa" w:w="1944"/>
            <w:vAlign w:val="center"/>
            <w:shd w:fill="FFFFFF"/>
            <w:tcMar>
              <w:top w:w="65" w:type="dxa"/>
              <w:bottom w:w="65" w:type="dxa"/>
              <w:left w:w="95" w:type="dxa"/>
              <w:right w:w="95" w:type="dxa"/>
            </w:tcMar>
          </w:tcPr>
          <w:p>
            <w:pPr>
              <w:spacing w:line="254" w:lineRule="auto" w:after="40" w:before="40"/>
            </w:pPr>
            <w:r>
              <w:rPr>
                <w:sz w:val="21"/>
              </w:rPr>
              <w:t>FR-11</w:t>
            </w:r>
          </w:p>
        </w:tc>
        <w:tc>
          <w:tcPr>
            <w:tcW w:type="dxa" w:w="2131"/>
            <w:vAlign w:val="center"/>
            <w:shd w:fill="FFFFFF"/>
            <w:tcMar>
              <w:top w:w="65" w:type="dxa"/>
              <w:bottom w:w="65" w:type="dxa"/>
              <w:left w:w="95" w:type="dxa"/>
              <w:right w:w="95" w:type="dxa"/>
            </w:tcMar>
          </w:tcPr>
          <w:p>
            <w:pPr>
              <w:spacing w:line="254" w:lineRule="auto" w:after="40" w:before="40"/>
            </w:pPr>
            <w:r>
              <w:rPr>
                <w:sz w:val="21"/>
              </w:rPr>
              <w:t>G02, G09, G10</w:t>
            </w:r>
          </w:p>
        </w:tc>
        <w:tc>
          <w:tcPr>
            <w:tcW w:type="dxa" w:w="3053"/>
            <w:vAlign w:val="center"/>
            <w:shd w:fill="FFFFFF"/>
            <w:tcMar>
              <w:top w:w="65" w:type="dxa"/>
              <w:bottom w:w="65" w:type="dxa"/>
              <w:left w:w="95" w:type="dxa"/>
              <w:right w:w="95" w:type="dxa"/>
            </w:tcMar>
          </w:tcPr>
          <w:p>
            <w:pPr>
              <w:spacing w:line="254" w:lineRule="auto" w:after="40" w:before="40"/>
            </w:pPr>
            <w:r>
              <w:rPr>
                <w:sz w:val="21"/>
              </w:rPr>
              <w:t>Early access</w:t>
            </w:r>
          </w:p>
        </w:tc>
      </w:tr>
      <w:tr>
        <w:trPr>
          <w:cantSplit/>
        </w:trPr>
        <w:tc>
          <w:tcPr>
            <w:tcW w:type="dxa" w:w="2952"/>
            <w:vAlign w:val="center"/>
            <w:shd w:fill="F2F5F8"/>
            <w:tcMar>
              <w:top w:w="65" w:type="dxa"/>
              <w:bottom w:w="65" w:type="dxa"/>
              <w:left w:w="95" w:type="dxa"/>
              <w:right w:w="95" w:type="dxa"/>
            </w:tcMar>
          </w:tcPr>
          <w:p>
            <w:pPr>
              <w:spacing w:line="254" w:lineRule="auto" w:after="40" w:before="40"/>
            </w:pPr>
            <w:r>
              <w:rPr>
                <w:sz w:val="21"/>
              </w:rPr>
              <w:t>Jobs, privacy and availability</w:t>
            </w:r>
          </w:p>
        </w:tc>
        <w:tc>
          <w:tcPr>
            <w:tcW w:type="dxa" w:w="1944"/>
            <w:vAlign w:val="center"/>
            <w:shd w:fill="F2F5F8"/>
            <w:tcMar>
              <w:top w:w="65" w:type="dxa"/>
              <w:bottom w:w="65" w:type="dxa"/>
              <w:left w:w="95" w:type="dxa"/>
              <w:right w:w="95" w:type="dxa"/>
            </w:tcMar>
          </w:tcPr>
          <w:p>
            <w:pPr>
              <w:spacing w:line="254" w:lineRule="auto" w:after="40" w:before="40"/>
            </w:pPr>
            <w:r>
              <w:rPr>
                <w:sz w:val="21"/>
              </w:rPr>
              <w:t>FR-13</w:t>
            </w:r>
          </w:p>
        </w:tc>
        <w:tc>
          <w:tcPr>
            <w:tcW w:type="dxa" w:w="2131"/>
            <w:vAlign w:val="center"/>
            <w:shd w:fill="F2F5F8"/>
            <w:tcMar>
              <w:top w:w="65" w:type="dxa"/>
              <w:bottom w:w="65" w:type="dxa"/>
              <w:left w:w="95" w:type="dxa"/>
              <w:right w:w="95" w:type="dxa"/>
            </w:tcMar>
          </w:tcPr>
          <w:p>
            <w:pPr>
              <w:spacing w:line="254" w:lineRule="auto" w:after="40" w:before="40"/>
            </w:pPr>
            <w:r>
              <w:rPr>
                <w:sz w:val="21"/>
              </w:rPr>
              <w:t>G10, G12</w:t>
            </w:r>
          </w:p>
        </w:tc>
        <w:tc>
          <w:tcPr>
            <w:tcW w:type="dxa" w:w="3053"/>
            <w:vAlign w:val="center"/>
            <w:shd w:fill="F2F5F8"/>
            <w:tcMar>
              <w:top w:w="65" w:type="dxa"/>
              <w:bottom w:w="65" w:type="dxa"/>
              <w:left w:w="95" w:type="dxa"/>
              <w:right w:w="95" w:type="dxa"/>
            </w:tcMar>
          </w:tcPr>
          <w:p>
            <w:pPr>
              <w:spacing w:line="254" w:lineRule="auto" w:after="40" w:before="40"/>
            </w:pPr>
            <w:r>
              <w:rPr>
                <w:sz w:val="21"/>
              </w:rPr>
              <w:t>Early access</w:t>
            </w:r>
          </w:p>
        </w:tc>
      </w:tr>
      <w:tr>
        <w:trPr>
          <w:cantSplit/>
        </w:trPr>
        <w:tc>
          <w:tcPr>
            <w:tcW w:type="dxa" w:w="2952"/>
            <w:vAlign w:val="center"/>
            <w:shd w:fill="FFFFFF"/>
            <w:tcMar>
              <w:top w:w="65" w:type="dxa"/>
              <w:bottom w:w="65" w:type="dxa"/>
              <w:left w:w="95" w:type="dxa"/>
              <w:right w:w="95" w:type="dxa"/>
            </w:tcMar>
          </w:tcPr>
          <w:p>
            <w:pPr>
              <w:spacing w:line="254" w:lineRule="auto" w:after="40" w:before="40"/>
            </w:pPr>
            <w:r>
              <w:rPr>
                <w:sz w:val="21"/>
              </w:rPr>
              <w:t>Packaging and distribution</w:t>
            </w:r>
          </w:p>
        </w:tc>
        <w:tc>
          <w:tcPr>
            <w:tcW w:type="dxa" w:w="1944"/>
            <w:vAlign w:val="center"/>
            <w:shd w:fill="FFFFFF"/>
            <w:tcMar>
              <w:top w:w="65" w:type="dxa"/>
              <w:bottom w:w="65" w:type="dxa"/>
              <w:left w:w="95" w:type="dxa"/>
              <w:right w:w="95" w:type="dxa"/>
            </w:tcMar>
          </w:tcPr>
          <w:p>
            <w:pPr>
              <w:spacing w:line="254" w:lineRule="auto" w:after="40" w:before="40"/>
            </w:pPr>
            <w:r>
              <w:rPr>
                <w:sz w:val="21"/>
              </w:rPr>
              <w:t>Sections 10 and 14</w:t>
            </w:r>
          </w:p>
        </w:tc>
        <w:tc>
          <w:tcPr>
            <w:tcW w:type="dxa" w:w="2131"/>
            <w:vAlign w:val="center"/>
            <w:shd w:fill="FFFFFF"/>
            <w:tcMar>
              <w:top w:w="65" w:type="dxa"/>
              <w:bottom w:w="65" w:type="dxa"/>
              <w:left w:w="95" w:type="dxa"/>
              <w:right w:w="95" w:type="dxa"/>
            </w:tcMar>
          </w:tcPr>
          <w:p>
            <w:pPr>
              <w:spacing w:line="254" w:lineRule="auto" w:after="40" w:before="40"/>
            </w:pPr>
            <w:r>
              <w:rPr>
                <w:sz w:val="21"/>
              </w:rPr>
              <w:t>G13</w:t>
            </w:r>
          </w:p>
        </w:tc>
        <w:tc>
          <w:tcPr>
            <w:tcW w:type="dxa" w:w="3053"/>
            <w:vAlign w:val="center"/>
            <w:shd w:fill="FFFFFF"/>
            <w:tcMar>
              <w:top w:w="65" w:type="dxa"/>
              <w:bottom w:w="65" w:type="dxa"/>
              <w:left w:w="95" w:type="dxa"/>
              <w:right w:w="95" w:type="dxa"/>
            </w:tcMar>
          </w:tcPr>
          <w:p>
            <w:pPr>
              <w:spacing w:line="254" w:lineRule="auto" w:after="40" w:before="40"/>
            </w:pPr>
            <w:r>
              <w:rPr>
                <w:sz w:val="21"/>
              </w:rPr>
              <w:t>Early access</w:t>
            </w:r>
          </w:p>
        </w:tc>
      </w:tr>
    </w:tbl>
    <w:p>
      <w:pPr>
        <w:spacing w:after="40" w:before="0" w:line="240" w:lineRule="auto"/>
      </w:pPr>
      <w:r>
        <w:rPr>
          <w:sz w:val="4"/>
        </w:rPr>
      </w:r>
    </w:p>
    <w:p>
      <w:r>
        <w:t>Record specification version, upstream and product commits, dependencies, exact device/OS configuration, model and rule versions, processor manifest digest, dataset version, gate evidence and limitations. Mark each capability as documented, source-inspected and runtime-tested independently. An evidence link and date are required for a passing gate.</w:t>
      </w:r>
    </w:p>
    <w:p>
      <w:pPr>
        <w:pStyle w:val="Heading1"/>
      </w:pPr>
      <w:r>
        <w:t>16 Definition of done</w:t>
      </w:r>
    </w:p>
    <w:p>
      <w:r>
        <w:t>An independent vocalist can import a WAV lead or record through a qualified interface with the declared monitoring mode, add WAV/MP3/AAC backing, set Sa, inspect pitch without providing MIDI, and optionally analyse a selected target note or timed MIDI reference. They can choose a local production goal or express it in the assistant, review a deterministic gain/EQ/compression proposal, audition a level-matched candidate and keep the original or commit the reviewed change.</w:t>
      </w:r>
    </w:p>
    <w:p>
      <w:r>
        <w:t>The user can save, reopen and export the chosen version, and recover the prior musical state without losing source audio or unrelated work. G00 has informed the product decision and G01 to G13 pass for the declared early-access envelope. Qualified software monitoring is claimed only if G02-SW passes. No raw audio is uploaded in this workflow. Manual DAW operation, analysis and local goal controls remain useful without cloud connectivity.</w:t>
      </w:r>
    </w:p>
    <w:p>
      <w:pPr>
        <w:pStyle w:val="Heading1"/>
      </w:pPr>
      <w:r>
        <w:t>17 Sources and evidence</w:t>
      </w:r>
    </w:p>
    <w:p>
      <w:r>
        <w:t>Repository file references below are pinned to the Phase 0 baseline. PR metadata and its ancestry comparison provide additional provenance. Documentation and source inspection were reconciled on 14 October 2026; runtime qualification remains outstanding. The hardware audit is retained as historical evidence and must be read with the corrections in section 3.</w:t>
      </w:r>
    </w:p>
    <w:p>
      <w:pPr>
        <w:pStyle w:val="ListBullet"/>
      </w:pPr>
      <w:r>
        <w:t xml:space="preserve">[S1] </w:t>
      </w:r>
      <w:hyperlink r:id="rId9">
        <w:r>
          <w:rPr>
            <w:color w:val="1F4E79"/>
            <w:u w:val="single"/>
          </w:rPr>
          <w:t>Baseline commit and release rebuild</w:t>
        </w:r>
      </w:hyperlink>
      <w:r>
        <w:t>.</w:t>
      </w:r>
    </w:p>
    <w:p>
      <w:pPr>
        <w:pStyle w:val="ListBullet"/>
      </w:pPr>
      <w:r>
        <w:t xml:space="preserve">[S2] </w:t>
      </w:r>
      <w:hyperlink r:id="rId10">
        <w:r>
          <w:rPr>
            <w:color w:val="1F4E79"/>
            <w:u w:val="single"/>
          </w:rPr>
          <w:t>MCP server documentation</w:t>
        </w:r>
      </w:hyperlink>
      <w:r>
        <w:t>.</w:t>
      </w:r>
    </w:p>
    <w:p>
      <w:pPr>
        <w:pStyle w:val="ListBullet"/>
      </w:pPr>
      <w:r>
        <w:t xml:space="preserve">[S3] </w:t>
      </w:r>
      <w:hyperlink r:id="rId11">
        <w:r>
          <w:rPr>
            <w:color w:val="1F4E79"/>
            <w:u w:val="single"/>
          </w:rPr>
          <w:t>Desktop control protocol</w:t>
        </w:r>
      </w:hyperlink>
      <w:r>
        <w:t>.</w:t>
      </w:r>
    </w:p>
    <w:p>
      <w:pPr>
        <w:pStyle w:val="ListBullet"/>
      </w:pPr>
      <w:r>
        <w:t xml:space="preserve">[S4] </w:t>
      </w:r>
      <w:hyperlink r:id="rId12">
        <w:r>
          <w:rPr>
            <w:color w:val="1F4E79"/>
            <w:u w:val="single"/>
          </w:rPr>
          <w:t>Hardware and recording audit</w:t>
        </w:r>
      </w:hyperlink>
      <w:r>
        <w:t>, reviewed upstream on 10 October 2026.</w:t>
      </w:r>
    </w:p>
    <w:p>
      <w:pPr>
        <w:pStyle w:val="ListBullet"/>
      </w:pPr>
      <w:r>
        <w:t xml:space="preserve">[S5] </w:t>
      </w:r>
      <w:hyperlink r:id="rId13">
        <w:r>
          <w:rPr>
            <w:color w:val="1F4E79"/>
            <w:u w:val="single"/>
          </w:rPr>
          <w:t>Plugin and DSP audit</w:t>
        </w:r>
      </w:hyperlink>
      <w:r>
        <w:t>, reviewed upstream on 10 October 2026.</w:t>
      </w:r>
    </w:p>
    <w:p>
      <w:pPr>
        <w:pStyle w:val="ListBullet"/>
      </w:pPr>
      <w:r>
        <w:t xml:space="preserve">[S6] </w:t>
      </w:r>
      <w:hyperlink r:id="rId14">
        <w:r>
          <w:rPr>
            <w:color w:val="1F4E79"/>
            <w:u w:val="single"/>
          </w:rPr>
          <w:t>Repository status and licensing information</w:t>
        </w:r>
      </w:hyperlink>
      <w:r>
        <w:t>.</w:t>
      </w:r>
    </w:p>
    <w:p>
      <w:pPr>
        <w:pStyle w:val="ListBullet"/>
      </w:pPr>
      <w:r>
        <w:t xml:space="preserve">[S7] </w:t>
      </w:r>
      <w:hyperlink r:id="rId15">
        <w:r>
          <w:rPr>
            <w:color w:val="1F4E79"/>
            <w:u w:val="single"/>
          </w:rPr>
          <w:t>Disk recording implementation</w:t>
        </w:r>
      </w:hyperlink>
      <w:r>
        <w:t>.</w:t>
      </w:r>
    </w:p>
    <w:p>
      <w:pPr>
        <w:pStyle w:val="ListBullet"/>
      </w:pPr>
      <w:r>
        <w:t xml:space="preserve">[S8] </w:t>
      </w:r>
      <w:hyperlink r:id="rId16">
        <w:r>
          <w:rPr>
            <w:color w:val="1F4E79"/>
            <w:u w:val="single"/>
          </w:rPr>
          <w:t>Engine revision, snapshots and history</w:t>
        </w:r>
      </w:hyperlink>
      <w:r>
        <w:t>.</w:t>
      </w:r>
    </w:p>
    <w:p>
      <w:pPr>
        <w:pStyle w:val="ListBullet"/>
      </w:pPr>
      <w:r>
        <w:t xml:space="preserve">[S9] </w:t>
      </w:r>
      <w:hyperlink r:id="rId17">
        <w:r>
          <w:rPr>
            <w:color w:val="1F4E79"/>
            <w:u w:val="single"/>
          </w:rPr>
          <w:t>Session inspection fields</w:t>
        </w:r>
      </w:hyperlink>
      <w:r>
        <w:t>.</w:t>
      </w:r>
    </w:p>
    <w:p>
      <w:pPr>
        <w:pStyle w:val="ListBullet"/>
      </w:pPr>
      <w:r>
        <w:t xml:space="preserve">[S10] </w:t>
      </w:r>
      <w:hyperlink r:id="rId18">
        <w:r>
          <w:rPr>
            <w:color w:val="1F4E79"/>
            <w:u w:val="single"/>
          </w:rPr>
          <w:t>Playback block and device implementation</w:t>
        </w:r>
      </w:hyperlink>
      <w:r>
        <w:t>.</w:t>
      </w:r>
    </w:p>
    <w:p>
      <w:pPr>
        <w:pStyle w:val="ListBullet"/>
      </w:pPr>
      <w:r>
        <w:t xml:space="preserve">[S11] </w:t>
      </w:r>
      <w:hyperlink r:id="rId19">
        <w:r>
          <w:rPr>
            <w:color w:val="1F4E79"/>
            <w:u w:val="single"/>
          </w:rPr>
          <w:t>YIN and audio to MIDI note detection</w:t>
        </w:r>
      </w:hyperlink>
      <w:r>
        <w:t>.</w:t>
      </w:r>
    </w:p>
    <w:p>
      <w:pPr>
        <w:pStyle w:val="ListBullet"/>
      </w:pPr>
      <w:r>
        <w:t xml:space="preserve">[S12] </w:t>
      </w:r>
      <w:hyperlink r:id="rId20">
        <w:r>
          <w:rPr>
            <w:color w:val="1F4E79"/>
            <w:u w:val="single"/>
          </w:rPr>
          <w:t>Mix rendering and strip routing</w:t>
        </w:r>
      </w:hyperlink>
      <w:r>
        <w:t>.</w:t>
      </w:r>
    </w:p>
    <w:p>
      <w:pPr>
        <w:pStyle w:val="ListBullet"/>
      </w:pPr>
      <w:r>
        <w:t xml:space="preserve">[S13] </w:t>
      </w:r>
      <w:hyperlink r:id="rId21">
        <w:r>
          <w:rPr>
            <w:color w:val="1F4E79"/>
            <w:u w:val="single"/>
          </w:rPr>
          <w:t>Record takes straight to disk PR 84</w:t>
        </w:r>
      </w:hyperlink>
      <w:r>
        <w:t>, merged 12 October 2026.</w:t>
      </w:r>
    </w:p>
    <w:p>
      <w:pPr>
        <w:pStyle w:val="ListBullet"/>
      </w:pPr>
      <w:r>
        <w:t xml:space="preserve">[S14] </w:t>
      </w:r>
      <w:hyperlink r:id="rId22">
        <w:r>
          <w:rPr>
            <w:color w:val="1F4E79"/>
            <w:u w:val="single"/>
          </w:rPr>
          <w:t>Ancestry from the recording merge to the pinned baseline</w:t>
        </w:r>
      </w:hyperlink>
      <w:r>
        <w:t>.</w:t>
      </w:r>
    </w:p>
    <w:p>
      <w:pPr>
        <w:pStyle w:val="ListBullet"/>
      </w:pPr>
      <w:r>
        <w:t xml:space="preserve">[S15] </w:t>
      </w:r>
      <w:hyperlink r:id="rId23">
        <w:r>
          <w:rPr>
            <w:color w:val="1F4E79"/>
            <w:u w:val="single"/>
          </w:rPr>
          <w:t>Audio as MIDI engine command</w:t>
        </w:r>
      </w:hyperlink>
      <w:r>
        <w:t>.</w:t>
      </w:r>
    </w:p>
    <w:p>
      <w:pPr>
        <w:pStyle w:val="ListBullet"/>
      </w:pPr>
      <w:r>
        <w:t xml:space="preserve">[S16] </w:t>
      </w:r>
      <w:hyperlink r:id="rId24">
        <w:r>
          <w:rPr>
            <w:color w:val="1F4E79"/>
            <w:u w:val="single"/>
          </w:rPr>
          <w:t>Desktop loopback control server</w:t>
        </w:r>
      </w:hyperlink>
      <w:r>
        <w:t>.</w:t>
      </w:r>
    </w:p>
    <w:p>
      <w:r>
        <w:t>Draft 0.1 supplies the original product vision and requirement identities. Version 0.2 supplies the focused vocal workflow and execution/analysis contracts. Version 0.3 incorporates the subsequent review with the source corrections, scope decisions and discovery sequence recorded in this document.</w:t>
      </w:r>
    </w:p>
    <w:sectPr w:rsidR="00FC693F" w:rsidRPr="0006063C" w:rsidSect="00034616">
      <w:footerReference w:type="default" r:id="rId25"/>
      <w:pgSz w:w="12240" w:h="15840"/>
      <w:pgMar w:top="1008" w:right="1080" w:bottom="1008"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8"/>
      </w:rPr>
      <w:t xml:space="preserve">SoundCraft AI  |  v0.3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52"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20" w:line="252"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240" w:line="252"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contextualSpacing/>
    </w:pPr>
    <w:rPr>
      <w:rFonts w:ascii="Calibri" w:hAnsi="Calibri"/>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contextualSpacing/>
    </w:pPr>
    <w:rPr>
      <w:rFonts w:ascii="Calibri" w:hAnsi="Calibri"/>
      <w:color w:val="000000"/>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torytold/soundcraft/commit/6cf896e76c0ec82a11bf2494f209cfe7c8507f74" TargetMode="External"/><Relationship Id="rId10" Type="http://schemas.openxmlformats.org/officeDocument/2006/relationships/hyperlink" Target="https://github.com/storytold/soundcraft/blob/6cf896e76c0ec82a11bf2494f209cfe7c8507f74/docs/mcp.md" TargetMode="External"/><Relationship Id="rId11" Type="http://schemas.openxmlformats.org/officeDocument/2006/relationships/hyperlink" Target="https://github.com/storytold/soundcraft/blob/6cf896e76c0ec82a11bf2494f209cfe7c8507f74/docs/control-protocol.md" TargetMode="External"/><Relationship Id="rId12" Type="http://schemas.openxmlformats.org/officeDocument/2006/relationships/hyperlink" Target="https://github.com/storytold/soundcraft/blob/6cf896e76c0ec82a11bf2494f209cfe7c8507f74/docs/hardware-parity.md" TargetMode="External"/><Relationship Id="rId13" Type="http://schemas.openxmlformats.org/officeDocument/2006/relationships/hyperlink" Target="https://github.com/storytold/soundcraft/blob/6cf896e76c0ec82a11bf2494f209cfe7c8507f74/docs/plugin-parity.md" TargetMode="External"/><Relationship Id="rId14" Type="http://schemas.openxmlformats.org/officeDocument/2006/relationships/hyperlink" Target="https://github.com/storytold/soundcraft/blob/6cf896e76c0ec82a11bf2494f209cfe7c8507f74/README.md" TargetMode="External"/><Relationship Id="rId15" Type="http://schemas.openxmlformats.org/officeDocument/2006/relationships/hyperlink" Target="https://github.com/storytold/soundcraft/blob/6cf896e76c0ec82a11bf2494f209cfe7c8507f74/crates/playback/src/record.rs" TargetMode="External"/><Relationship Id="rId16" Type="http://schemas.openxmlformats.org/officeDocument/2006/relationships/hyperlink" Target="https://github.com/storytold/soundcraft/blob/6cf896e76c0ec82a11bf2494f209cfe7c8507f74/crates/engine/src/lib.rs" TargetMode="External"/><Relationship Id="rId17" Type="http://schemas.openxmlformats.org/officeDocument/2006/relationships/hyperlink" Target="https://github.com/storytold/soundcraft/blob/6cf896e76c0ec82a11bf2494f209cfe7c8507f74/crates/engine/src/inspect.rs" TargetMode="External"/><Relationship Id="rId18" Type="http://schemas.openxmlformats.org/officeDocument/2006/relationships/hyperlink" Target="https://github.com/storytold/soundcraft/blob/6cf896e76c0ec82a11bf2494f209cfe7c8507f74/crates/playback/src/lib.rs" TargetMode="External"/><Relationship Id="rId19" Type="http://schemas.openxmlformats.org/officeDocument/2006/relationships/hyperlink" Target="https://github.com/storytold/soundcraft/blob/6cf896e76c0ec82a11bf2494f209cfe7c8507f74/crates/dsp/src/pitch_detect.rs" TargetMode="External"/><Relationship Id="rId20" Type="http://schemas.openxmlformats.org/officeDocument/2006/relationships/hyperlink" Target="https://github.com/storytold/soundcraft/blob/6cf896e76c0ec82a11bf2494f209cfe7c8507f74/crates/mix/src/lib.rs" TargetMode="External"/><Relationship Id="rId21" Type="http://schemas.openxmlformats.org/officeDocument/2006/relationships/hyperlink" Target="https://github.com/storytold/soundcraft/pull/84" TargetMode="External"/><Relationship Id="rId22" Type="http://schemas.openxmlformats.org/officeDocument/2006/relationships/hyperlink" Target="https://github.com/storytold/soundcraft/compare/ef04444f6916108fb5d8f8803aaa2b1527a895fa...6cf896e76c0ec82a11bf2494f209cfe7c8507f74" TargetMode="External"/><Relationship Id="rId23" Type="http://schemas.openxmlformats.org/officeDocument/2006/relationships/hyperlink" Target="https://github.com/storytold/soundcraft/blob/6cf896e76c0ec82a11bf2494f209cfe7c8507f74/crates/engine/src/cmd/audio_midi.rs" TargetMode="External"/><Relationship Id="rId24" Type="http://schemas.openxmlformats.org/officeDocument/2006/relationships/hyperlink" Target="https://github.com/storytold/soundcraft/blob/6cf896e76c0ec82a11bf2494f209cfe7c8507f74/apps/soundcraft/src/control_server.rs"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SoundCraft AI Product Requirements</dc:title>
  <dc:subject>Product requirements and release gates version 0.3</dc:subject>
  <dc:creator>SoundCraft-AI</dc:creator>
  <cp:keywords>SoundCraft, AI, PRD, vocals, version 0.3</cp:keywords>
  <dc:description/>
  <cp:lastModifiedBy/>
  <cp:revision>1</cp:revision>
  <dcterms:created xsi:type="dcterms:W3CDTF">2013-12-23T23:15:00Z</dcterms:created>
  <dcterms:modified xsi:type="dcterms:W3CDTF">2013-12-23T23:15:00Z</dcterms:modified>
  <cp:category/>
</cp:coreProperties>
</file>