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DD6B" w14:textId="0BAE1659" w:rsidR="006566CC" w:rsidRPr="006566CC" w:rsidRDefault="006566CC" w:rsidP="006566CC">
      <w:pPr>
        <w:rPr>
          <w:b/>
          <w:bCs/>
        </w:rPr>
      </w:pPr>
      <w:r w:rsidRPr="006566CC">
        <w:rPr>
          <w:b/>
          <w:bCs/>
        </w:rPr>
        <w:t>Slide 1 — Title (</w:t>
      </w:r>
      <w:r>
        <w:rPr>
          <w:b/>
          <w:bCs/>
        </w:rPr>
        <w:t>KP</w:t>
      </w:r>
      <w:r w:rsidRPr="006566CC">
        <w:rPr>
          <w:b/>
          <w:bCs/>
        </w:rPr>
        <w:t>)</w:t>
      </w:r>
    </w:p>
    <w:p w14:paraId="37D2FE4E" w14:textId="77777777" w:rsidR="006566CC" w:rsidRPr="006566CC" w:rsidRDefault="006566CC" w:rsidP="006566CC">
      <w:r w:rsidRPr="006566CC">
        <w:t>Imagine losing an entire harvest because a pest outbreak wasn't addressed in time. That's the challenge GreenLeaf faces across 8 farms, 20 greenhouses, and 120 microplots.</w:t>
      </w:r>
    </w:p>
    <w:p w14:paraId="3472C52A" w14:textId="77777777" w:rsidR="006566CC" w:rsidRPr="006566CC" w:rsidRDefault="006566CC" w:rsidP="006566CC">
      <w:r w:rsidRPr="006566CC">
        <w:t>Our goal was simple: determine whether precision agriculture investments generate measurable financial returns—and where future capital should be allocated.</w:t>
      </w:r>
    </w:p>
    <w:p w14:paraId="32029E7F" w14:textId="77777777" w:rsidR="006566CC" w:rsidRPr="006566CC" w:rsidRDefault="006566CC" w:rsidP="006566CC">
      <w:r w:rsidRPr="006566CC">
        <w:rPr>
          <w:b/>
          <w:bCs/>
        </w:rPr>
        <w:t>~20 sec</w:t>
      </w:r>
    </w:p>
    <w:p w14:paraId="2987377E" w14:textId="77777777" w:rsidR="006566CC" w:rsidRPr="006566CC" w:rsidRDefault="006566CC" w:rsidP="006566CC">
      <w:r w:rsidRPr="006566CC">
        <w:pict w14:anchorId="17AE6277">
          <v:rect id="_x0000_i1085" style="width:0;height:1.5pt" o:hralign="center" o:hrstd="t" o:hr="t" fillcolor="#a0a0a0" stroked="f"/>
        </w:pict>
      </w:r>
    </w:p>
    <w:p w14:paraId="4368AFF2" w14:textId="628F0C69" w:rsidR="006566CC" w:rsidRPr="006566CC" w:rsidRDefault="006566CC" w:rsidP="006566CC">
      <w:pPr>
        <w:rPr>
          <w:b/>
          <w:bCs/>
        </w:rPr>
      </w:pPr>
      <w:r w:rsidRPr="006566CC">
        <w:rPr>
          <w:b/>
          <w:bCs/>
        </w:rPr>
        <w:t xml:space="preserve">Slide 2 — Executive Summary </w:t>
      </w:r>
    </w:p>
    <w:p w14:paraId="2232A238" w14:textId="77777777" w:rsidR="006566CC" w:rsidRPr="006566CC" w:rsidRDefault="006566CC" w:rsidP="006566CC">
      <w:r w:rsidRPr="006566CC">
        <w:t>We identified three key challenges.</w:t>
      </w:r>
    </w:p>
    <w:p w14:paraId="0B8606E1" w14:textId="77777777" w:rsidR="006566CC" w:rsidRPr="006566CC" w:rsidRDefault="006566CC" w:rsidP="006566CC">
      <w:r w:rsidRPr="006566CC">
        <w:t>First, over 6,400 alerts were generated during the season, with roughly one in four receiving no action.</w:t>
      </w:r>
    </w:p>
    <w:p w14:paraId="2FC2929F" w14:textId="77777777" w:rsidR="006566CC" w:rsidRPr="006566CC" w:rsidRDefault="006566CC" w:rsidP="006566CC">
      <w:r w:rsidRPr="006566CC">
        <w:t>Second, crop stress spikes during the spring growing season.</w:t>
      </w:r>
    </w:p>
    <w:p w14:paraId="567FB008" w14:textId="77777777" w:rsidR="006566CC" w:rsidRPr="006566CC" w:rsidRDefault="006566CC" w:rsidP="006566CC">
      <w:r w:rsidRPr="006566CC">
        <w:t>Third, spending is not always aligned with the highest-return treatments.</w:t>
      </w:r>
    </w:p>
    <w:p w14:paraId="7B910DAD" w14:textId="77777777" w:rsidR="006566CC" w:rsidRPr="006566CC" w:rsidRDefault="006566CC" w:rsidP="006566CC">
      <w:r w:rsidRPr="006566CC">
        <w:t>Despite this, precision agriculture generated approximately $47,000 of GreenLeaf's $71,700 season profit.</w:t>
      </w:r>
    </w:p>
    <w:p w14:paraId="06C69FD6" w14:textId="77777777" w:rsidR="006566CC" w:rsidRPr="006566CC" w:rsidRDefault="006566CC" w:rsidP="006566CC">
      <w:r w:rsidRPr="006566CC">
        <w:rPr>
          <w:b/>
          <w:bCs/>
        </w:rPr>
        <w:t>~25 sec</w:t>
      </w:r>
    </w:p>
    <w:p w14:paraId="0CEE7D22" w14:textId="77777777" w:rsidR="006566CC" w:rsidRPr="006566CC" w:rsidRDefault="006566CC" w:rsidP="006566CC">
      <w:r w:rsidRPr="006566CC">
        <w:pict w14:anchorId="18042F99">
          <v:rect id="_x0000_i1086" style="width:0;height:1.5pt" o:hralign="center" o:hrstd="t" o:hr="t" fillcolor="#a0a0a0" stroked="f"/>
        </w:pict>
      </w:r>
    </w:p>
    <w:p w14:paraId="34433128" w14:textId="29F9FDDC" w:rsidR="006566CC" w:rsidRPr="006566CC" w:rsidRDefault="006566CC" w:rsidP="006566CC">
      <w:pPr>
        <w:rPr>
          <w:b/>
          <w:bCs/>
        </w:rPr>
      </w:pPr>
      <w:r w:rsidRPr="006566CC">
        <w:rPr>
          <w:b/>
          <w:bCs/>
        </w:rPr>
        <w:t xml:space="preserve">Slide 3 — Methodology </w:t>
      </w:r>
    </w:p>
    <w:p w14:paraId="10C1A107" w14:textId="77777777" w:rsidR="006566CC" w:rsidRPr="006566CC" w:rsidRDefault="006566CC" w:rsidP="006566CC">
      <w:r w:rsidRPr="006566CC">
        <w:t>To answer our research question, we analyzed four areas:</w:t>
      </w:r>
    </w:p>
    <w:p w14:paraId="6F4B46AF" w14:textId="77777777" w:rsidR="006566CC" w:rsidRPr="006566CC" w:rsidRDefault="006566CC" w:rsidP="006566CC">
      <w:r w:rsidRPr="006566CC">
        <w:t>season profitability, crop stress and alerts, precision spending, and treatment performance across all 120 plots.</w:t>
      </w:r>
    </w:p>
    <w:p w14:paraId="35E389CE" w14:textId="77777777" w:rsidR="006566CC" w:rsidRPr="006566CC" w:rsidRDefault="006566CC" w:rsidP="006566CC">
      <w:r w:rsidRPr="006566CC">
        <w:t>This allowed us to directly connect operational decisions to financial outcomes.</w:t>
      </w:r>
    </w:p>
    <w:p w14:paraId="752A82C4" w14:textId="77777777" w:rsidR="006566CC" w:rsidRPr="006566CC" w:rsidRDefault="006566CC" w:rsidP="006566CC">
      <w:r w:rsidRPr="006566CC">
        <w:rPr>
          <w:b/>
          <w:bCs/>
        </w:rPr>
        <w:t>~15 sec</w:t>
      </w:r>
    </w:p>
    <w:p w14:paraId="7AE79EB9" w14:textId="77777777" w:rsidR="006566CC" w:rsidRPr="006566CC" w:rsidRDefault="006566CC" w:rsidP="006566CC">
      <w:r w:rsidRPr="006566CC">
        <w:pict w14:anchorId="73A2B52E">
          <v:rect id="_x0000_i1087" style="width:0;height:1.5pt" o:hralign="center" o:hrstd="t" o:hr="t" fillcolor="#a0a0a0" stroked="f"/>
        </w:pict>
      </w:r>
    </w:p>
    <w:p w14:paraId="22C1136C" w14:textId="31B6ABBF" w:rsidR="006566CC" w:rsidRPr="006566CC" w:rsidRDefault="006566CC" w:rsidP="006566CC">
      <w:pPr>
        <w:rPr>
          <w:b/>
          <w:bCs/>
        </w:rPr>
      </w:pPr>
      <w:r w:rsidRPr="006566CC">
        <w:rPr>
          <w:b/>
          <w:bCs/>
        </w:rPr>
        <w:t xml:space="preserve">Slide 4 — Season at a Glance </w:t>
      </w:r>
    </w:p>
    <w:p w14:paraId="6412E595" w14:textId="77777777" w:rsidR="006566CC" w:rsidRPr="006566CC" w:rsidRDefault="006566CC" w:rsidP="006566CC">
      <w:r w:rsidRPr="006566CC">
        <w:t>Across all eight farms, GreenLeaf generated roughly $238,000 in revenue and $71,700 in profit.</w:t>
      </w:r>
    </w:p>
    <w:p w14:paraId="43FE6CAE" w14:textId="77777777" w:rsidR="006566CC" w:rsidRPr="006566CC" w:rsidRDefault="006566CC" w:rsidP="006566CC">
      <w:r w:rsidRPr="006566CC">
        <w:lastRenderedPageBreak/>
        <w:t>Precision actions contributed approximately $47,000 of that profit, representing nearly two-thirds of total profitability.</w:t>
      </w:r>
    </w:p>
    <w:p w14:paraId="129C2A1A" w14:textId="77777777" w:rsidR="006566CC" w:rsidRPr="006566CC" w:rsidRDefault="006566CC" w:rsidP="006566CC">
      <w:r w:rsidRPr="006566CC">
        <w:t>We also found that pest pressure accounted for almost all alerts, making it GreenLeaf's most significant operational risk.</w:t>
      </w:r>
    </w:p>
    <w:p w14:paraId="0C07E796" w14:textId="77777777" w:rsidR="006566CC" w:rsidRPr="006566CC" w:rsidRDefault="006566CC" w:rsidP="006566CC">
      <w:r w:rsidRPr="006566CC">
        <w:rPr>
          <w:b/>
          <w:bCs/>
        </w:rPr>
        <w:t>~25 sec</w:t>
      </w:r>
    </w:p>
    <w:p w14:paraId="264C2B8D" w14:textId="77777777" w:rsidR="006566CC" w:rsidRPr="006566CC" w:rsidRDefault="006566CC" w:rsidP="006566CC">
      <w:r w:rsidRPr="006566CC">
        <w:pict w14:anchorId="440D932E">
          <v:rect id="_x0000_i1088" style="width:0;height:1.5pt" o:hralign="center" o:hrstd="t" o:hr="t" fillcolor="#a0a0a0" stroked="f"/>
        </w:pict>
      </w:r>
    </w:p>
    <w:p w14:paraId="532F93B1" w14:textId="1F29CC15" w:rsidR="006566CC" w:rsidRPr="006566CC" w:rsidRDefault="006566CC" w:rsidP="006566CC">
      <w:pPr>
        <w:rPr>
          <w:b/>
          <w:bCs/>
        </w:rPr>
      </w:pPr>
      <w:r w:rsidRPr="006566CC">
        <w:rPr>
          <w:b/>
          <w:bCs/>
        </w:rPr>
        <w:t>Slide 5 — Weekly Triage (</w:t>
      </w:r>
      <w:r>
        <w:rPr>
          <w:b/>
          <w:bCs/>
        </w:rPr>
        <w:t>Simar</w:t>
      </w:r>
      <w:r w:rsidRPr="006566CC">
        <w:rPr>
          <w:b/>
          <w:bCs/>
        </w:rPr>
        <w:t>)</w:t>
      </w:r>
    </w:p>
    <w:p w14:paraId="6341D47A" w14:textId="77777777" w:rsidR="006566CC" w:rsidRPr="006566CC" w:rsidRDefault="006566CC" w:rsidP="006566CC">
      <w:r w:rsidRPr="006566CC">
        <w:t>We then looked at when intervention mattered most.</w:t>
      </w:r>
    </w:p>
    <w:p w14:paraId="6F812ABA" w14:textId="77777777" w:rsidR="006566CC" w:rsidRPr="006566CC" w:rsidRDefault="006566CC" w:rsidP="006566CC">
      <w:r w:rsidRPr="006566CC">
        <w:t>High-stress events were concentrated in spring, peaking during the week of April 5th.</w:t>
      </w:r>
    </w:p>
    <w:p w14:paraId="49511CAD" w14:textId="77777777" w:rsidR="006566CC" w:rsidRPr="006566CC" w:rsidRDefault="006566CC" w:rsidP="006566CC">
      <w:r w:rsidRPr="006566CC">
        <w:t>Although 75% of alerts received action, one quarter did not.</w:t>
      </w:r>
    </w:p>
    <w:p w14:paraId="47C60378" w14:textId="77777777" w:rsidR="006566CC" w:rsidRPr="006566CC" w:rsidRDefault="006566CC" w:rsidP="006566CC">
      <w:r w:rsidRPr="006566CC">
        <w:t>This highlights the importance of prioritizing rapid responses during peak stress periods.</w:t>
      </w:r>
    </w:p>
    <w:p w14:paraId="127FFEA5" w14:textId="77777777" w:rsidR="006566CC" w:rsidRPr="006566CC" w:rsidRDefault="006566CC" w:rsidP="006566CC">
      <w:r w:rsidRPr="006566CC">
        <w:rPr>
          <w:b/>
          <w:bCs/>
        </w:rPr>
        <w:t>~20 sec</w:t>
      </w:r>
    </w:p>
    <w:p w14:paraId="5358B092" w14:textId="77777777" w:rsidR="006566CC" w:rsidRPr="006566CC" w:rsidRDefault="006566CC" w:rsidP="006566CC">
      <w:r w:rsidRPr="006566CC">
        <w:pict w14:anchorId="57D43416">
          <v:rect id="_x0000_i1089" style="width:0;height:1.5pt" o:hralign="center" o:hrstd="t" o:hr="t" fillcolor="#a0a0a0" stroked="f"/>
        </w:pict>
      </w:r>
    </w:p>
    <w:p w14:paraId="0C7AA676" w14:textId="0E1448EE" w:rsidR="006566CC" w:rsidRPr="006566CC" w:rsidRDefault="006566CC" w:rsidP="006566CC">
      <w:pPr>
        <w:rPr>
          <w:b/>
          <w:bCs/>
        </w:rPr>
      </w:pPr>
      <w:r w:rsidRPr="006566CC">
        <w:rPr>
          <w:b/>
          <w:bCs/>
        </w:rPr>
        <w:t xml:space="preserve">Slide 6 — Precision ROI </w:t>
      </w:r>
    </w:p>
    <w:p w14:paraId="5850B30A" w14:textId="77777777" w:rsidR="006566CC" w:rsidRPr="006566CC" w:rsidRDefault="006566CC" w:rsidP="006566CC">
      <w:r w:rsidRPr="006566CC">
        <w:t>Next, we evaluated whether precision agriculture delivers financial value.</w:t>
      </w:r>
    </w:p>
    <w:p w14:paraId="2AF16CFD" w14:textId="77777777" w:rsidR="006566CC" w:rsidRPr="006566CC" w:rsidRDefault="006566CC" w:rsidP="006566CC">
      <w:r w:rsidRPr="006566CC">
        <w:t>We found that precision actions generated approximately $47,000 in measurable benefit and accounted for 66% of total season profit.</w:t>
      </w:r>
    </w:p>
    <w:p w14:paraId="0AEEDE09" w14:textId="77777777" w:rsidR="006566CC" w:rsidRPr="006566CC" w:rsidRDefault="006566CC" w:rsidP="006566CC">
      <w:r w:rsidRPr="006566CC">
        <w:t>Overall, GreenLeaf earned about $2.52 for every dollar invested in precision actions.</w:t>
      </w:r>
    </w:p>
    <w:p w14:paraId="08C8B49F" w14:textId="77777777" w:rsidR="006566CC" w:rsidRPr="006566CC" w:rsidRDefault="006566CC" w:rsidP="006566CC">
      <w:r w:rsidRPr="006566CC">
        <w:rPr>
          <w:b/>
          <w:bCs/>
        </w:rPr>
        <w:t>~25 sec</w:t>
      </w:r>
    </w:p>
    <w:p w14:paraId="16C5F7D4" w14:textId="77777777" w:rsidR="006566CC" w:rsidRPr="006566CC" w:rsidRDefault="006566CC" w:rsidP="006566CC">
      <w:r w:rsidRPr="006566CC">
        <w:pict w14:anchorId="02DF0ACF">
          <v:rect id="_x0000_i1090" style="width:0;height:1.5pt" o:hralign="center" o:hrstd="t" o:hr="t" fillcolor="#a0a0a0" stroked="f"/>
        </w:pict>
      </w:r>
    </w:p>
    <w:p w14:paraId="43C13F1B" w14:textId="48417C8D" w:rsidR="006566CC" w:rsidRPr="006566CC" w:rsidRDefault="006566CC" w:rsidP="006566CC">
      <w:pPr>
        <w:rPr>
          <w:b/>
          <w:bCs/>
        </w:rPr>
      </w:pPr>
      <w:r w:rsidRPr="006566CC">
        <w:rPr>
          <w:b/>
          <w:bCs/>
        </w:rPr>
        <w:t>Slide 7 — Precision Tiers</w:t>
      </w:r>
    </w:p>
    <w:p w14:paraId="679EC666" w14:textId="77777777" w:rsidR="006566CC" w:rsidRPr="006566CC" w:rsidRDefault="006566CC" w:rsidP="006566CC">
      <w:r w:rsidRPr="006566CC">
        <w:t>We also examined whether higher precision spending leads to better outcomes.</w:t>
      </w:r>
    </w:p>
    <w:p w14:paraId="512E1DDB" w14:textId="77777777" w:rsidR="006566CC" w:rsidRPr="006566CC" w:rsidRDefault="006566CC" w:rsidP="006566CC">
      <w:r w:rsidRPr="006566CC">
        <w:t>The answer was yes.</w:t>
      </w:r>
    </w:p>
    <w:p w14:paraId="713C3C7D" w14:textId="77777777" w:rsidR="006566CC" w:rsidRPr="006566CC" w:rsidRDefault="006566CC" w:rsidP="006566CC">
      <w:r w:rsidRPr="006566CC">
        <w:t>Plots in the highest precision-spending tier generated both the highest profit per plot and the highest ROI.</w:t>
      </w:r>
    </w:p>
    <w:p w14:paraId="2EE970C3" w14:textId="77777777" w:rsidR="006566CC" w:rsidRPr="006566CC" w:rsidRDefault="006566CC" w:rsidP="006566CC">
      <w:r w:rsidRPr="006566CC">
        <w:t>This suggests that targeted precision spending creates value rather than simply increasing costs.</w:t>
      </w:r>
    </w:p>
    <w:p w14:paraId="4C97AB4D" w14:textId="77777777" w:rsidR="006566CC" w:rsidRPr="006566CC" w:rsidRDefault="006566CC" w:rsidP="006566CC">
      <w:r w:rsidRPr="006566CC">
        <w:rPr>
          <w:b/>
          <w:bCs/>
        </w:rPr>
        <w:lastRenderedPageBreak/>
        <w:t>~20 sec</w:t>
      </w:r>
    </w:p>
    <w:p w14:paraId="7193873B" w14:textId="77777777" w:rsidR="006566CC" w:rsidRPr="006566CC" w:rsidRDefault="006566CC" w:rsidP="006566CC">
      <w:r w:rsidRPr="006566CC">
        <w:pict w14:anchorId="41AE605F">
          <v:rect id="_x0000_i1091" style="width:0;height:1.5pt" o:hralign="center" o:hrstd="t" o:hr="t" fillcolor="#a0a0a0" stroked="f"/>
        </w:pict>
      </w:r>
    </w:p>
    <w:p w14:paraId="43B7CF9B" w14:textId="0FDBDEA6" w:rsidR="006566CC" w:rsidRPr="006566CC" w:rsidRDefault="006566CC" w:rsidP="006566CC">
      <w:pPr>
        <w:rPr>
          <w:b/>
          <w:bCs/>
        </w:rPr>
      </w:pPr>
      <w:r w:rsidRPr="006566CC">
        <w:rPr>
          <w:b/>
          <w:bCs/>
        </w:rPr>
        <w:t xml:space="preserve">Slide 8 — Treatment Audit </w:t>
      </w:r>
    </w:p>
    <w:p w14:paraId="7DA439CF" w14:textId="77777777" w:rsidR="006566CC" w:rsidRPr="006566CC" w:rsidRDefault="006566CC" w:rsidP="006566CC">
      <w:r w:rsidRPr="006566CC">
        <w:t>Not all treatments performed equally.</w:t>
      </w:r>
    </w:p>
    <w:p w14:paraId="204AA580" w14:textId="77777777" w:rsidR="006566CC" w:rsidRPr="006566CC" w:rsidRDefault="006566CC" w:rsidP="006566CC">
      <w:r w:rsidRPr="006566CC">
        <w:t>While High Nitrogen produced the highest yields, High Light generated the highest profit and strongest ROI.</w:t>
      </w:r>
    </w:p>
    <w:p w14:paraId="6ABBD72B" w14:textId="77777777" w:rsidR="006566CC" w:rsidRPr="006566CC" w:rsidRDefault="006566CC" w:rsidP="006566CC">
      <w:r w:rsidRPr="006566CC">
        <w:t>The key lesson is that maximizing yield does not necessarily maximize profitability.</w:t>
      </w:r>
    </w:p>
    <w:p w14:paraId="433A8B40" w14:textId="77777777" w:rsidR="006566CC" w:rsidRPr="006566CC" w:rsidRDefault="006566CC" w:rsidP="006566CC">
      <w:r w:rsidRPr="006566CC">
        <w:t>High Light delivers the strongest financial return.</w:t>
      </w:r>
    </w:p>
    <w:p w14:paraId="37FCEF0A" w14:textId="77777777" w:rsidR="006566CC" w:rsidRPr="006566CC" w:rsidRDefault="006566CC" w:rsidP="006566CC">
      <w:r w:rsidRPr="006566CC">
        <w:rPr>
          <w:b/>
          <w:bCs/>
        </w:rPr>
        <w:t>~20 sec</w:t>
      </w:r>
    </w:p>
    <w:p w14:paraId="7D6B35D6" w14:textId="77777777" w:rsidR="006566CC" w:rsidRPr="006566CC" w:rsidRDefault="006566CC" w:rsidP="006566CC">
      <w:r w:rsidRPr="006566CC">
        <w:pict w14:anchorId="59B3E6B1">
          <v:rect id="_x0000_i1092" style="width:0;height:1.5pt" o:hralign="center" o:hrstd="t" o:hr="t" fillcolor="#a0a0a0" stroked="f"/>
        </w:pict>
      </w:r>
    </w:p>
    <w:p w14:paraId="14FD3F77" w14:textId="644B02CA" w:rsidR="006566CC" w:rsidRPr="006566CC" w:rsidRDefault="006566CC" w:rsidP="006566CC">
      <w:pPr>
        <w:rPr>
          <w:b/>
          <w:bCs/>
        </w:rPr>
      </w:pPr>
      <w:r w:rsidRPr="006566CC">
        <w:rPr>
          <w:b/>
          <w:bCs/>
        </w:rPr>
        <w:t xml:space="preserve">Slide 9 — Short-Term Strategy </w:t>
      </w:r>
      <w:r>
        <w:rPr>
          <w:b/>
          <w:bCs/>
        </w:rPr>
        <w:t>(Navtesh)</w:t>
      </w:r>
    </w:p>
    <w:p w14:paraId="52788149" w14:textId="77777777" w:rsidR="006566CC" w:rsidRPr="006566CC" w:rsidRDefault="006566CC" w:rsidP="006566CC">
      <w:r w:rsidRPr="006566CC">
        <w:t>Based on these findings, we recommend three immediate actions.</w:t>
      </w:r>
    </w:p>
    <w:p w14:paraId="7404AB2D" w14:textId="77777777" w:rsidR="006566CC" w:rsidRPr="006566CC" w:rsidRDefault="006566CC" w:rsidP="006566CC">
      <w:r w:rsidRPr="006566CC">
        <w:t>First, expand High-Light treatments.</w:t>
      </w:r>
    </w:p>
    <w:p w14:paraId="7227DF7F" w14:textId="77777777" w:rsidR="006566CC" w:rsidRPr="006566CC" w:rsidRDefault="006566CC" w:rsidP="006566CC">
      <w:r w:rsidRPr="006566CC">
        <w:t>Second, reduce investment in underperforming strategies such as Shade and Reduced Pest.</w:t>
      </w:r>
    </w:p>
    <w:p w14:paraId="7EB5F89A" w14:textId="77777777" w:rsidR="006566CC" w:rsidRPr="006566CC" w:rsidRDefault="006566CC" w:rsidP="006566CC">
      <w:r w:rsidRPr="006566CC">
        <w:t>Third, improve same-day responses to pest alerts to reduce avoidable crop stress.</w:t>
      </w:r>
    </w:p>
    <w:p w14:paraId="260F3AB0" w14:textId="77777777" w:rsidR="006566CC" w:rsidRPr="006566CC" w:rsidRDefault="006566CC" w:rsidP="006566CC">
      <w:r w:rsidRPr="006566CC">
        <w:rPr>
          <w:b/>
          <w:bCs/>
        </w:rPr>
        <w:t>~20 sec</w:t>
      </w:r>
    </w:p>
    <w:p w14:paraId="314B2677" w14:textId="77777777" w:rsidR="006566CC" w:rsidRPr="006566CC" w:rsidRDefault="006566CC" w:rsidP="006566CC">
      <w:r w:rsidRPr="006566CC">
        <w:pict w14:anchorId="65A5FE66">
          <v:rect id="_x0000_i1093" style="width:0;height:1.5pt" o:hralign="center" o:hrstd="t" o:hr="t" fillcolor="#a0a0a0" stroked="f"/>
        </w:pict>
      </w:r>
    </w:p>
    <w:p w14:paraId="2B0F635F" w14:textId="414C5F0E" w:rsidR="006566CC" w:rsidRPr="006566CC" w:rsidRDefault="006566CC" w:rsidP="006566CC">
      <w:pPr>
        <w:rPr>
          <w:b/>
          <w:bCs/>
        </w:rPr>
      </w:pPr>
      <w:r w:rsidRPr="006566CC">
        <w:rPr>
          <w:b/>
          <w:bCs/>
        </w:rPr>
        <w:t xml:space="preserve">Slide 10 — Long-Term Strategy </w:t>
      </w:r>
    </w:p>
    <w:p w14:paraId="0863F993" w14:textId="77777777" w:rsidR="006566CC" w:rsidRPr="006566CC" w:rsidRDefault="006566CC" w:rsidP="006566CC">
      <w:r w:rsidRPr="006566CC">
        <w:t>Looking ahead, GreenLeaf should scale successful precision practices across all farms.</w:t>
      </w:r>
    </w:p>
    <w:p w14:paraId="7E6A2981" w14:textId="77777777" w:rsidR="006566CC" w:rsidRPr="006566CC" w:rsidRDefault="006566CC" w:rsidP="006566CC">
      <w:r w:rsidRPr="006566CC">
        <w:t>This includes expanding High-Light and Integrated Pest strategies, increasing sensor coverage, and continuing to invest in technologies that demonstrate measurable returns.</w:t>
      </w:r>
    </w:p>
    <w:p w14:paraId="49C74767" w14:textId="77777777" w:rsidR="006566CC" w:rsidRPr="006566CC" w:rsidRDefault="006566CC" w:rsidP="006566CC">
      <w:r w:rsidRPr="006566CC">
        <w:t>These actions help close the alert-response gap while supporting long-term profitability.</w:t>
      </w:r>
    </w:p>
    <w:p w14:paraId="7D0B18E6" w14:textId="77777777" w:rsidR="006566CC" w:rsidRPr="006566CC" w:rsidRDefault="006566CC" w:rsidP="006566CC">
      <w:r w:rsidRPr="006566CC">
        <w:rPr>
          <w:b/>
          <w:bCs/>
        </w:rPr>
        <w:t>~20 sec</w:t>
      </w:r>
    </w:p>
    <w:p w14:paraId="2DC731A2" w14:textId="77777777" w:rsidR="006566CC" w:rsidRPr="006566CC" w:rsidRDefault="006566CC" w:rsidP="006566CC">
      <w:r w:rsidRPr="006566CC">
        <w:pict w14:anchorId="2C1D70B0">
          <v:rect id="_x0000_i1094" style="width:0;height:1.5pt" o:hralign="center" o:hrstd="t" o:hr="t" fillcolor="#a0a0a0" stroked="f"/>
        </w:pict>
      </w:r>
    </w:p>
    <w:p w14:paraId="4DC7D3EA" w14:textId="22F87631" w:rsidR="006566CC" w:rsidRPr="006566CC" w:rsidRDefault="006566CC" w:rsidP="006566CC">
      <w:pPr>
        <w:rPr>
          <w:b/>
          <w:bCs/>
        </w:rPr>
      </w:pPr>
      <w:r w:rsidRPr="006566CC">
        <w:rPr>
          <w:b/>
          <w:bCs/>
        </w:rPr>
        <w:t>Slide 11 — Conclusion</w:t>
      </w:r>
    </w:p>
    <w:p w14:paraId="06199D77" w14:textId="77777777" w:rsidR="006566CC" w:rsidRPr="006566CC" w:rsidRDefault="006566CC" w:rsidP="006566CC">
      <w:r w:rsidRPr="006566CC">
        <w:lastRenderedPageBreak/>
        <w:t>To conclude, our analysis shows that precision agriculture generated approximately $47,000 of GreenLeaf's $71,700 season profit and returned about $2.52 for every dollar invested.</w:t>
      </w:r>
    </w:p>
    <w:p w14:paraId="1FBA8F76" w14:textId="77777777" w:rsidR="006566CC" w:rsidRPr="006566CC" w:rsidRDefault="006566CC" w:rsidP="006566CC">
      <w:r w:rsidRPr="006566CC">
        <w:t>By expanding High-Light treatments, improving pest management, and responding faster to alerts, GreenLeaf can further increase profitability and resilience.</w:t>
      </w:r>
    </w:p>
    <w:p w14:paraId="531E624E" w14:textId="77777777" w:rsidR="006566CC" w:rsidRPr="006566CC" w:rsidRDefault="006566CC" w:rsidP="006566CC">
      <w:r w:rsidRPr="006566CC">
        <w:t>For both GreenLeaf and RBC, the conclusion is clear: precision agriculture is worth financing.</w:t>
      </w:r>
    </w:p>
    <w:p w14:paraId="4FAE2C44" w14:textId="77777777" w:rsidR="006566CC" w:rsidRPr="006566CC" w:rsidRDefault="006566CC" w:rsidP="006566CC">
      <w:r w:rsidRPr="006566CC">
        <w:t>Thank you. We're happy to take any questions.</w:t>
      </w:r>
    </w:p>
    <w:p w14:paraId="3B9A8E17" w14:textId="77777777" w:rsidR="00ED282D" w:rsidRPr="006566CC" w:rsidRDefault="00ED282D" w:rsidP="006566CC"/>
    <w:sectPr w:rsidR="00ED282D" w:rsidRPr="006566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CA6C2" w14:textId="77777777" w:rsidR="00CF155D" w:rsidRDefault="00CF155D" w:rsidP="006566CC">
      <w:pPr>
        <w:spacing w:after="0" w:line="240" w:lineRule="auto"/>
      </w:pPr>
      <w:r>
        <w:separator/>
      </w:r>
    </w:p>
  </w:endnote>
  <w:endnote w:type="continuationSeparator" w:id="0">
    <w:p w14:paraId="0E7AE2B8" w14:textId="77777777" w:rsidR="00CF155D" w:rsidRDefault="00CF155D" w:rsidP="00656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8AF38" w14:textId="77777777" w:rsidR="00CF155D" w:rsidRDefault="00CF155D" w:rsidP="006566CC">
      <w:pPr>
        <w:spacing w:after="0" w:line="240" w:lineRule="auto"/>
      </w:pPr>
      <w:r>
        <w:separator/>
      </w:r>
    </w:p>
  </w:footnote>
  <w:footnote w:type="continuationSeparator" w:id="0">
    <w:p w14:paraId="6EFB8B8E" w14:textId="77777777" w:rsidR="00CF155D" w:rsidRDefault="00CF155D" w:rsidP="006566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2D"/>
    <w:rsid w:val="00041456"/>
    <w:rsid w:val="006566CC"/>
    <w:rsid w:val="006E7F41"/>
    <w:rsid w:val="009922B8"/>
    <w:rsid w:val="00CC1A9E"/>
    <w:rsid w:val="00CF155D"/>
    <w:rsid w:val="00ED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67E41"/>
  <w15:chartTrackingRefBased/>
  <w15:docId w15:val="{1F1D0AA1-74A1-4ECC-BCBA-C3FBA0193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8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2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56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6CC"/>
  </w:style>
  <w:style w:type="paragraph" w:styleId="Footer">
    <w:name w:val="footer"/>
    <w:basedOn w:val="Normal"/>
    <w:link w:val="FooterChar"/>
    <w:uiPriority w:val="99"/>
    <w:unhideWhenUsed/>
    <w:rsid w:val="00656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Navtesh Nijhawan</dc:creator>
  <cp:keywords/>
  <dc:description/>
  <cp:lastModifiedBy>Navtesh Nijhawan</cp:lastModifiedBy>
  <cp:revision>2</cp:revision>
  <dcterms:created xsi:type="dcterms:W3CDTF">2026-05-30T16:33:00Z</dcterms:created>
  <dcterms:modified xsi:type="dcterms:W3CDTF">2026-05-30T17:15:00Z</dcterms:modified>
</cp:coreProperties>
</file>