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Agreement 2026</w:t>
      </w:r>
    </w:p>
    <w:p>
      <w:r>
        <w:t>This document outlines the security policies and server license pricing for Acme Corp.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Database Storage</w:t>
            </w:r>
          </w:p>
        </w:tc>
        <w:tc>
          <w:tcPr>
            <w:tcW w:type="dxa" w:w="2880"/>
          </w:tcPr>
          <w:p>
            <w:r>
              <w:t>50 TB</w:t>
            </w:r>
          </w:p>
        </w:tc>
        <w:tc>
          <w:tcPr>
            <w:tcW w:type="dxa" w:w="2880"/>
          </w:tcPr>
          <w:p>
            <w:r>
              <w:t>$4,200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