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600"/>
        <w:jc w:val="center"/>
      </w:pPr>
      <w:r>
        <w:rPr>
          <w:sz w:val="96"/>
          <w:szCs w:val="96"/>
        </w:rPr>
        <w:t xml:space="preserve">🥭</w:t>
      </w:r>
    </w:p>
    <w:p>
      <w:pPr>
        <w:pStyle w:val="Title"/>
      </w:pPr>
      <w:r>
        <w:t xml:space="preserve">Mangoi Teacher Training Manual</w:t>
      </w:r>
    </w:p>
    <w:p>
      <w:pPr>
        <w:spacing w:after="400" w:before="0"/>
        <w:jc w:val="center"/>
      </w:pPr>
      <w:r>
        <w:rPr>
          <w:i/>
          <w:iCs/>
          <w:color w:val="555555"/>
          <w:sz w:val="26"/>
          <w:szCs w:val="26"/>
        </w:rPr>
        <w:t xml:space="preserve">A Practical Guide to Teaching &amp; Training for Engaging Kids and Teens in Online English Classes</w:t>
      </w:r>
    </w:p>
    <w:p>
      <w:pPr>
        <w:spacing w:after="80" w:before="0"/>
        <w:jc w:val="center"/>
      </w:pPr>
      <w:r>
        <w:rPr>
          <w:color w:val="888888"/>
          <w:sz w:val="22"/>
          <w:szCs w:val="22"/>
        </w:rPr>
        <w:t xml:space="preserve">Raising Engagement × Achievement together, one class at a time</w:t>
      </w:r>
    </w:p>
    <w:p>
      <w:pPr>
        <w:spacing w:after="120" w:before="0"/>
        <w:jc w:val="center"/>
      </w:pPr>
      <w:r>
        <w:rPr>
          <w:color w:val="888888"/>
          <w:sz w:val="20"/>
          <w:szCs w:val="20"/>
        </w:rPr>
        <w:t xml:space="preserve">Mangoi English  |  Teacher Success Team  |  v1.0</w:t>
      </w:r>
    </w:p>
    <w:p>
      <w:r>
        <w:br w:type="page"/>
      </w:r>
    </w:p>
    <w:p>
      <w:pPr>
        <w:pStyle w:val="Heading1"/>
      </w:pPr>
      <w: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Why This Manual Exists</w:t>
      </w:r>
    </w:p>
    <w:p>
      <w:pPr>
        <w:spacing w:after="120" w:before="0"/>
      </w:pPr>
      <w:r>
        <w:t xml:space="preserve">Most Mangoi students are children and teenagers. For this age group, it is not simply “if it is not fun, they will not learn” — it is closer to “if it is not fun, they will not even pay attention in the first place.” Online classes make this harder: they convey 30–40% less emotion and energy than in-person teaching, so unless the teacher deliberately designs for engagement, a child can check out within five minutes.</w:t>
      </w:r>
    </w:p>
    <w:p>
      <w:pPr>
        <w:spacing w:after="120" w:before="0"/>
      </w:pPr>
      <w:r>
        <w:t xml:space="preserve">That is why engagement (the class is fun) and achievement (the child improves) are not separate goals. Children grow in this order: “it is fun → so they keep going → and because they keep going → they improve.” This manual helps teachers create that virtuous cycle inside every single class, and helps managers train teachers in that direction.</w:t>
      </w:r>
    </w:p>
    <w:p>
      <w:pPr>
        <w:spacing w:after="120" w:before="0"/>
      </w:pPr>
      <w:r>
        <w:t xml:space="preserve">The manual covers (1) the five core focus areas for engaging kids, (2) the Mangoi Engagement Cycle built on our platform features, (3) the teacher training roadmap, and (4) age-specific tips — with a class checklist and a teacher evaluation rubric provided as appendices.</w:t>
      </w:r>
    </w:p>
    <w:p>
      <w:pPr>
        <w:pBdr>
          <w:left w:val="single" w:color="F2A900" w:sz="24" w:space="8"/>
        </w:pBdr>
        <w:spacing w:after="120" w:before="80"/>
        <w:ind w:left="200"/>
      </w:pPr>
      <w:r>
        <w:rPr>
          <w:i/>
          <w:iCs/>
          <w:color w:val="444444"/>
        </w:rPr>
        <w:t xml:space="preserve">“We are not teaching children English — we are giving them time to play in English.” — Mangoi teaching philosophy</w:t>
      </w:r>
    </w:p>
    <w:p>
      <w:pPr>
        <w:pStyle w:val="Heading1"/>
      </w:pPr>
      <w:r>
        <w:t xml:space="preserve">2. The Five Core Focus Areas for Engaging Kids</w:t>
      </w:r>
    </w:p>
    <w:p>
      <w:pPr>
        <w:pStyle w:val="Heading2"/>
      </w:pPr>
      <w:r>
        <w:t xml:space="preserve">1. Energy &amp; Facial Expression (Reaching Through the Screen)</w:t>
      </w:r>
    </w:p>
    <w:p>
      <w:pPr>
        <w:spacing w:after="80"/>
      </w:pPr>
      <w:r>
        <w:rPr>
          <w:b/>
          <w:bCs/>
          <w:color w:val="B26A00"/>
        </w:rPr>
        <w:t xml:space="preserve">Why it matters:  </w:t>
      </w:r>
      <w:r>
        <w:t xml:space="preserve">Video conveys less emotion. If a teacher performs at a “normal” level, it arrives as “boring” to the child. Exaggerated energy is what registers as “just right” on the other side of the screen.</w:t>
      </w:r>
    </w:p>
    <w:p>
      <w:pPr>
        <w:spacing w:after="80"/>
      </w:pPr>
      <w:r>
        <w:rPr>
          <w:b/>
          <w:bCs/>
          <w:color w:val="B26A00"/>
        </w:rPr>
        <w:t xml:space="preserve">Do this:  </w:t>
      </w:r>
      <w:r>
        <w:t xml:space="preserve">Make non-verbal reactions a habit — thumbs-up, clapping, surprised faces — and praise correct answers instantly and loudly (“Wow! Amazing!”). Raise your vocal tone one notch above normal.</w:t>
      </w:r>
    </w:p>
    <w:p>
      <w:pPr>
        <w:spacing w:after="80"/>
      </w:pPr>
      <w:r>
        <w:rPr>
          <w:b/>
          <w:bCs/>
          <w:color w:val="B26A00"/>
        </w:rPr>
        <w:t xml:space="preserve">Avoid this:  </w:t>
      </w:r>
      <w:r>
        <w:t xml:space="preserve">A blank face, a monotone voice, or eyes fixed down on the keyboard. If the teacher looks bored, the child becomes bored too.</w:t>
      </w:r>
    </w:p>
    <w:p>
      <w:pPr>
        <w:pStyle w:val="Heading2"/>
      </w:pPr>
      <w:r>
        <w:t xml:space="preserve">2. Student Talk Time (Cut Teacher Talk Time)</w:t>
      </w:r>
    </w:p>
    <w:p>
      <w:pPr>
        <w:spacing w:after="80"/>
      </w:pPr>
      <w:r>
        <w:rPr>
          <w:b/>
          <w:bCs/>
          <w:color w:val="B26A00"/>
        </w:rPr>
        <w:t xml:space="preserve">Why it matters:  </w:t>
      </w:r>
      <w:r>
        <w:t xml:space="preserve">The #1 mistake of new teachers is talking too much. The person doing the talking is the person doing the learning. The child has to open their mouth to improve — and to stay engaged.</w:t>
      </w:r>
    </w:p>
    <w:p>
      <w:pPr>
        <w:spacing w:after="80"/>
      </w:pPr>
      <w:r>
        <w:rPr>
          <w:b/>
          <w:bCs/>
          <w:color w:val="B26A00"/>
        </w:rPr>
        <w:t xml:space="preserve">Do this:  </w:t>
      </w:r>
      <w:r>
        <w:t xml:space="preserve">Target 60%+ student talk time. Ask a question → wait 3 seconds → let the child speak. Keep explanations short, model once, and let the child do the rest.</w:t>
      </w:r>
    </w:p>
    <w:p>
      <w:pPr>
        <w:spacing w:after="80"/>
      </w:pPr>
      <w:r>
        <w:rPr>
          <w:b/>
          <w:bCs/>
          <w:color w:val="B26A00"/>
        </w:rPr>
        <w:t xml:space="preserve">Avoid this:  </w:t>
      </w:r>
      <w:r>
        <w:t xml:space="preserve">Saying the answer before the child does, jumping in before the 3-second think time is up, or delivering long grammar lectures.</w:t>
      </w:r>
    </w:p>
    <w:p>
      <w:pPr>
        <w:pStyle w:val="Heading2"/>
      </w:pPr>
      <w:r>
        <w:t xml:space="preserve">3. Making Small Wins Visible — Instantly</w:t>
      </w:r>
    </w:p>
    <w:p>
      <w:pPr>
        <w:spacing w:after="80"/>
      </w:pPr>
      <w:r>
        <w:rPr>
          <w:b/>
          <w:bCs/>
          <w:color w:val="B26A00"/>
        </w:rPr>
        <w:t xml:space="preserve">Why it matters:  </w:t>
      </w:r>
      <w:r>
        <w:t xml:space="preserve">Children keep going only when they get a signal that says “I am doing well.” Visible rewards and progress are far more powerful than abstract encouragement.</w:t>
      </w:r>
    </w:p>
    <w:p>
      <w:pPr>
        <w:spacing w:after="80"/>
      </w:pPr>
      <w:r>
        <w:rPr>
          <w:b/>
          <w:bCs/>
          <w:color w:val="B26A00"/>
        </w:rPr>
        <w:t xml:space="preserve">Do this:  </w:t>
      </w:r>
      <w:r>
        <w:t xml:space="preserve">Actively use Mangoi’s star ratings, badges, confetti, and the Mango mascot reactions during class (“Get this right and Mango will dance!”). Set one small goal each class and confirm it together when achieved.</w:t>
      </w:r>
    </w:p>
    <w:p>
      <w:pPr>
        <w:spacing w:after="80"/>
      </w:pPr>
      <w:r>
        <w:rPr>
          <w:b/>
          <w:bCs/>
          <w:color w:val="B26A00"/>
        </w:rPr>
        <w:t xml:space="preserve">Avoid this:  </w:t>
      </w:r>
      <w:r>
        <w:t xml:space="preserve">Glossing over wins with a vague “good job,” or pointing out only mistakes while letting the good moments pass unnoticed.</w:t>
      </w:r>
    </w:p>
    <w:p>
      <w:pPr>
        <w:pStyle w:val="Heading2"/>
      </w:pPr>
      <w:r>
        <w:t xml:space="preserve">4. Personalization (Name, Interests, Level)</w:t>
      </w:r>
    </w:p>
    <w:p>
      <w:pPr>
        <w:spacing w:after="80"/>
      </w:pPr>
      <w:r>
        <w:rPr>
          <w:b/>
          <w:bCs/>
          <w:color w:val="B26A00"/>
        </w:rPr>
        <w:t xml:space="preserve">Why it matters:  </w:t>
      </w:r>
      <w:r>
        <w:t xml:space="preserve">Children engage when it feels like “a class made for me.” Simply using their name noticeably raises attention.</w:t>
      </w:r>
    </w:p>
    <w:p>
      <w:pPr>
        <w:spacing w:after="80"/>
      </w:pPr>
      <w:r>
        <w:rPr>
          <w:b/>
          <w:bCs/>
          <w:color w:val="B26A00"/>
        </w:rPr>
        <w:t xml:space="preserve">Do this:  </w:t>
      </w:r>
      <w:r>
        <w:t xml:space="preserve">Use the child’s name often and bring in what they love (games, K-pop, soccer) as conversation topics. Use Mangoi’s textbook-linked AI warm-up and mistake personalization to know their frequent errors before class.</w:t>
      </w:r>
    </w:p>
    <w:p>
      <w:pPr>
        <w:spacing w:after="80"/>
      </w:pPr>
      <w:r>
        <w:rPr>
          <w:b/>
          <w:bCs/>
          <w:color w:val="B26A00"/>
        </w:rPr>
        <w:t xml:space="preserve">Avoid this:  </w:t>
      </w:r>
      <w:r>
        <w:t xml:space="preserve">Running the same script for every child, never asking about their interests, or ignoring last class’s mistakes.</w:t>
      </w:r>
    </w:p>
    <w:p>
      <w:pPr>
        <w:pStyle w:val="Heading2"/>
      </w:pPr>
      <w:r>
        <w:t xml:space="preserve">5. Rhythm &amp; Transitions (Blocking Boredom)</w:t>
      </w:r>
    </w:p>
    <w:p>
      <w:pPr>
        <w:spacing w:after="80"/>
      </w:pPr>
      <w:r>
        <w:rPr>
          <w:b/>
          <w:bCs/>
          <w:color w:val="B26A00"/>
        </w:rPr>
        <w:t xml:space="preserve">Why it matters:  </w:t>
      </w:r>
      <w:r>
        <w:t xml:space="preserve">A child’s attention span is roughly ‘age = minutes’ (an 8-year-old ≈ 8 minutes). Any single activity that runs long will sag.</w:t>
      </w:r>
    </w:p>
    <w:p>
      <w:pPr>
        <w:spacing w:after="80"/>
      </w:pPr>
      <w:r>
        <w:rPr>
          <w:b/>
          <w:bCs/>
          <w:color w:val="B26A00"/>
        </w:rPr>
        <w:t xml:space="preserve">Do this:  </w:t>
      </w:r>
      <w:r>
        <w:t xml:space="preserve">Break and switch activities every 5–7 minutes. Give it rhythm — ‘textbook → game → speaking → game’ — and place Mangoi game-tab activities (shooter, 3D battle, vocab games) between segments.</w:t>
      </w:r>
    </w:p>
    <w:p>
      <w:pPr>
        <w:spacing w:after="80"/>
      </w:pPr>
      <w:r>
        <w:rPr>
          <w:b/>
          <w:bCs/>
          <w:color w:val="B26A00"/>
        </w:rPr>
        <w:t xml:space="preserve">Avoid this:  </w:t>
      </w:r>
      <w:r>
        <w:t xml:space="preserve">Dragging one activity past 15 minutes, or plowing ahead with the lesson while ignoring signs of fatigue (fidgeting, yawning).</w:t>
      </w:r>
    </w:p>
    <w:p>
      <w:r>
        <w:br w:type="page"/>
      </w:r>
    </w:p>
    <w:p>
      <w:pPr>
        <w:pStyle w:val="Heading1"/>
      </w:pPr>
      <w:r>
        <w:t xml:space="preserve">3. The Mangoi Engagement Cycle</w:t>
      </w:r>
    </w:p>
    <w:p>
      <w:pPr>
        <w:spacing w:after="120" w:before="0"/>
      </w:pPr>
      <w:r>
        <w:t xml:space="preserve">The features are already built. The key is for the teacher to weave them together naturally as ‘tools of fun’ and run them as one cycle. Train this cycle into muscle memory and an entire class becomes an engagement structure.</w:t>
      </w:r>
    </w:p>
    <w:p>
      <w:pPr>
        <w:spacing w:after="160" w:before="0"/>
        <w:jc w:val="center"/>
      </w:pPr>
      <w:r>
        <w:rPr>
          <w:b/>
          <w:bCs/>
          <w:color w:val="B26A00"/>
        </w:rPr>
        <w:t xml:space="preserve">Warm-up (Textbook AI) → Set a Mission → Speaking Activity → Game Reward → Instant Feedback (stars·mascot) → Next Mission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3200"/>
        <w:gridCol w:w="4260"/>
      </w:tblGrid>
      <w:tr>
        <w:trPr>
          <w:tblHeader/>
        </w:trPr>
        <w:tc>
          <w:tcPr>
            <w:tcW w:type="dxa" w:w="1900"/>
            <w:tcBorders>
              <w:top w:val="single" w:color="D9D9D9" w:sz="4"/>
              <w:left w:val="single" w:color="D9D9D9" w:sz="4"/>
              <w:bottom w:val="single" w:color="D9D9D9" w:sz="4"/>
              <w:right w:val="single" w:color="D9D9D9" w:sz="4"/>
            </w:tcBorders>
            <w:shd w:fill="F2A900" w:val="clear"/>
            <w:tcMar>
              <w:top w:type="dxa" w:w="80"/>
              <w:left w:type="dxa" w:w="120"/>
              <w:bottom w:type="dxa" w:w="80"/>
              <w:right w:type="dxa" w:w="120"/>
            </w:tcMar>
            <w:vAlign w:val="center"/>
          </w:tcPr>
          <w:p>
            <w:r>
              <w:rPr>
                <w:b/>
                <w:bCs/>
                <w:color w:val="FFFFFF"/>
              </w:rPr>
              <w:t xml:space="preserve">Stage</w:t>
            </w:r>
          </w:p>
        </w:tc>
        <w:tc>
          <w:tcPr>
            <w:tcW w:type="dxa" w:w="3200"/>
            <w:tcBorders>
              <w:top w:val="single" w:color="D9D9D9" w:sz="4"/>
              <w:left w:val="single" w:color="D9D9D9" w:sz="4"/>
              <w:bottom w:val="single" w:color="D9D9D9" w:sz="4"/>
              <w:right w:val="single" w:color="D9D9D9" w:sz="4"/>
            </w:tcBorders>
            <w:shd w:fill="F2A900" w:val="clear"/>
            <w:tcMar>
              <w:top w:type="dxa" w:w="80"/>
              <w:left w:type="dxa" w:w="120"/>
              <w:bottom w:type="dxa" w:w="80"/>
              <w:right w:type="dxa" w:w="120"/>
            </w:tcMar>
            <w:vAlign w:val="center"/>
          </w:tcPr>
          <w:p>
            <w:r>
              <w:rPr>
                <w:b/>
                <w:bCs/>
                <w:color w:val="FFFFFF"/>
              </w:rPr>
              <w:t xml:space="preserve">Mangoi Feature</w:t>
            </w:r>
          </w:p>
        </w:tc>
        <w:tc>
          <w:tcPr>
            <w:tcW w:type="dxa" w:w="4260"/>
            <w:tcBorders>
              <w:top w:val="single" w:color="D9D9D9" w:sz="4"/>
              <w:left w:val="single" w:color="D9D9D9" w:sz="4"/>
              <w:bottom w:val="single" w:color="D9D9D9" w:sz="4"/>
              <w:right w:val="single" w:color="D9D9D9" w:sz="4"/>
            </w:tcBorders>
            <w:shd w:fill="F2A900" w:val="clear"/>
            <w:tcMar>
              <w:top w:type="dxa" w:w="80"/>
              <w:left w:type="dxa" w:w="120"/>
              <w:bottom w:type="dxa" w:w="80"/>
              <w:right w:type="dxa" w:w="120"/>
            </w:tcMar>
            <w:vAlign w:val="center"/>
          </w:tcPr>
          <w:p>
            <w:r>
              <w:rPr>
                <w:b/>
                <w:bCs/>
                <w:color w:val="FFFFFF"/>
              </w:rPr>
              <w:t xml:space="preserve">What the Teacher Does</w:t>
            </w:r>
          </w:p>
        </w:tc>
      </w:tr>
      <w:tr>
        <w:tc>
          <w:tcPr>
            <w:tcW w:type="dxa" w:w="19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center"/>
          </w:tcPr>
          <w:p>
            <w:r>
              <w:t xml:space="preserve">① Warm-up</w:t>
            </w:r>
          </w:p>
        </w:tc>
        <w:tc>
          <w:tcPr>
            <w:tcW w:type="dxa" w:w="32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center"/>
          </w:tcPr>
          <w:p>
            <w:r>
              <w:t xml:space="preserve">Textbook-linked AI warm-up + mistake personalization</w:t>
            </w:r>
          </w:p>
        </w:tc>
        <w:tc>
          <w:tcPr>
            <w:tcW w:type="dxa" w:w="426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center"/>
          </w:tcPr>
          <w:p>
            <w:r>
              <w:t xml:space="preserve">Loosen them up with light questions and naturally review last class’s mistakes.</w:t>
            </w:r>
          </w:p>
        </w:tc>
      </w:tr>
      <w:tr>
        <w:tc>
          <w:tcPr>
            <w:tcW w:type="dxa" w:w="1900"/>
            <w:tcBorders>
              <w:top w:val="single" w:color="D9D9D9" w:sz="4"/>
              <w:left w:val="single" w:color="D9D9D9" w:sz="4"/>
              <w:bottom w:val="single" w:color="D9D9D9" w:sz="4"/>
              <w:right w:val="single" w:color="D9D9D9" w:sz="4"/>
            </w:tcBorders>
            <w:shd w:fill="FFF3D6" w:val="clear"/>
            <w:tcMar>
              <w:top w:type="dxa" w:w="80"/>
              <w:left w:type="dxa" w:w="120"/>
              <w:bottom w:type="dxa" w:w="80"/>
              <w:right w:type="dxa" w:w="120"/>
            </w:tcMar>
            <w:vAlign w:val="center"/>
          </w:tcPr>
          <w:p>
            <w:r>
              <w:t xml:space="preserve">② Set a mission</w:t>
            </w:r>
          </w:p>
        </w:tc>
        <w:tc>
          <w:tcPr>
            <w:tcW w:type="dxa" w:w="3200"/>
            <w:tcBorders>
              <w:top w:val="single" w:color="D9D9D9" w:sz="4"/>
              <w:left w:val="single" w:color="D9D9D9" w:sz="4"/>
              <w:bottom w:val="single" w:color="D9D9D9" w:sz="4"/>
              <w:right w:val="single" w:color="D9D9D9" w:sz="4"/>
            </w:tcBorders>
            <w:shd w:fill="FFF3D6" w:val="clear"/>
            <w:tcMar>
              <w:top w:type="dxa" w:w="80"/>
              <w:left w:type="dxa" w:w="120"/>
              <w:bottom w:type="dxa" w:w="80"/>
              <w:right w:type="dxa" w:w="120"/>
            </w:tcMar>
            <w:vAlign w:val="center"/>
          </w:tcPr>
          <w:p>
            <w:r>
              <w:t xml:space="preserve">Goal-of-the-day card</w:t>
            </w:r>
          </w:p>
        </w:tc>
        <w:tc>
          <w:tcPr>
            <w:tcW w:type="dxa" w:w="4260"/>
            <w:tcBorders>
              <w:top w:val="single" w:color="D9D9D9" w:sz="4"/>
              <w:left w:val="single" w:color="D9D9D9" w:sz="4"/>
              <w:bottom w:val="single" w:color="D9D9D9" w:sz="4"/>
              <w:right w:val="single" w:color="D9D9D9" w:sz="4"/>
            </w:tcBorders>
            <w:shd w:fill="FFF3D6" w:val="clear"/>
            <w:tcMar>
              <w:top w:type="dxa" w:w="80"/>
              <w:left w:type="dxa" w:w="120"/>
              <w:bottom w:type="dxa" w:w="80"/>
              <w:right w:type="dxa" w:w="120"/>
            </w:tcMar>
            <w:vAlign w:val="center"/>
          </w:tcPr>
          <w:p>
            <w:r>
              <w:t xml:space="preserve">Declare one small, clear goal, e.g. “Today, master 3 new words!”</w:t>
            </w:r>
          </w:p>
        </w:tc>
      </w:tr>
      <w:tr>
        <w:tc>
          <w:tcPr>
            <w:tcW w:type="dxa" w:w="19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center"/>
          </w:tcPr>
          <w:p>
            <w:r>
              <w:t xml:space="preserve">③ Speaking activity</w:t>
            </w:r>
          </w:p>
        </w:tc>
        <w:tc>
          <w:tcPr>
            <w:tcW w:type="dxa" w:w="32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center"/>
          </w:tcPr>
          <w:p>
            <w:r>
              <w:t xml:space="preserve">Textbook + screen share</w:t>
            </w:r>
          </w:p>
        </w:tc>
        <w:tc>
          <w:tcPr>
            <w:tcW w:type="dxa" w:w="426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center"/>
          </w:tcPr>
          <w:p>
            <w:r>
              <w:t xml:space="preserve">Keep explanations short; drive 60%+ student talk (ask → wait → speak).</w:t>
            </w:r>
          </w:p>
        </w:tc>
      </w:tr>
      <w:tr>
        <w:tc>
          <w:tcPr>
            <w:tcW w:type="dxa" w:w="1900"/>
            <w:tcBorders>
              <w:top w:val="single" w:color="D9D9D9" w:sz="4"/>
              <w:left w:val="single" w:color="D9D9D9" w:sz="4"/>
              <w:bottom w:val="single" w:color="D9D9D9" w:sz="4"/>
              <w:right w:val="single" w:color="D9D9D9" w:sz="4"/>
            </w:tcBorders>
            <w:shd w:fill="FFF3D6" w:val="clear"/>
            <w:tcMar>
              <w:top w:type="dxa" w:w="80"/>
              <w:left w:type="dxa" w:w="120"/>
              <w:bottom w:type="dxa" w:w="80"/>
              <w:right w:type="dxa" w:w="120"/>
            </w:tcMar>
            <w:vAlign w:val="center"/>
          </w:tcPr>
          <w:p>
            <w:r>
              <w:t xml:space="preserve">④ Game reward</w:t>
            </w:r>
          </w:p>
        </w:tc>
        <w:tc>
          <w:tcPr>
            <w:tcW w:type="dxa" w:w="3200"/>
            <w:tcBorders>
              <w:top w:val="single" w:color="D9D9D9" w:sz="4"/>
              <w:left w:val="single" w:color="D9D9D9" w:sz="4"/>
              <w:bottom w:val="single" w:color="D9D9D9" w:sz="4"/>
              <w:right w:val="single" w:color="D9D9D9" w:sz="4"/>
            </w:tcBorders>
            <w:shd w:fill="FFF3D6" w:val="clear"/>
            <w:tcMar>
              <w:top w:type="dxa" w:w="80"/>
              <w:left w:type="dxa" w:w="120"/>
              <w:bottom w:type="dxa" w:w="80"/>
              <w:right w:type="dxa" w:w="120"/>
            </w:tcMar>
            <w:vAlign w:val="center"/>
          </w:tcPr>
          <w:p>
            <w:r>
              <w:t xml:space="preserve">Student game hub (shooter·3D battle·vocab·Chinese)</w:t>
            </w:r>
          </w:p>
        </w:tc>
        <w:tc>
          <w:tcPr>
            <w:tcW w:type="dxa" w:w="4260"/>
            <w:tcBorders>
              <w:top w:val="single" w:color="D9D9D9" w:sz="4"/>
              <w:left w:val="single" w:color="D9D9D9" w:sz="4"/>
              <w:bottom w:val="single" w:color="D9D9D9" w:sz="4"/>
              <w:right w:val="single" w:color="D9D9D9" w:sz="4"/>
            </w:tcBorders>
            <w:shd w:fill="FFF3D6" w:val="clear"/>
            <w:tcMar>
              <w:top w:type="dxa" w:w="80"/>
              <w:left w:type="dxa" w:w="120"/>
              <w:bottom w:type="dxa" w:w="80"/>
              <w:right w:type="dxa" w:w="120"/>
            </w:tcMar>
            <w:vAlign w:val="center"/>
          </w:tcPr>
          <w:p>
            <w:r>
              <w:t xml:space="preserve">Place games between segments for rhythm and to repeat target expressions.</w:t>
            </w:r>
          </w:p>
        </w:tc>
      </w:tr>
      <w:tr>
        <w:tc>
          <w:tcPr>
            <w:tcW w:type="dxa" w:w="19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center"/>
          </w:tcPr>
          <w:p>
            <w:r>
              <w:t xml:space="preserve">⑤ Instant feedback</w:t>
            </w:r>
          </w:p>
        </w:tc>
        <w:tc>
          <w:tcPr>
            <w:tcW w:type="dxa" w:w="32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center"/>
          </w:tcPr>
          <w:p>
            <w:r>
              <w:t xml:space="preserve">Star ratings·badges·confetti·Mango mascot</w:t>
            </w:r>
          </w:p>
        </w:tc>
        <w:tc>
          <w:tcPr>
            <w:tcW w:type="dxa" w:w="426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center"/>
          </w:tcPr>
          <w:p>
            <w:r>
              <w:t xml:space="preserve">Celebrate the win visibly (“Mango is dancing!”) and name exactly what was good.</w:t>
            </w:r>
          </w:p>
        </w:tc>
      </w:tr>
      <w:tr>
        <w:tc>
          <w:tcPr>
            <w:tcW w:type="dxa" w:w="1900"/>
            <w:tcBorders>
              <w:top w:val="single" w:color="D9D9D9" w:sz="4"/>
              <w:left w:val="single" w:color="D9D9D9" w:sz="4"/>
              <w:bottom w:val="single" w:color="D9D9D9" w:sz="4"/>
              <w:right w:val="single" w:color="D9D9D9" w:sz="4"/>
            </w:tcBorders>
            <w:shd w:fill="FFF3D6" w:val="clear"/>
            <w:tcMar>
              <w:top w:type="dxa" w:w="80"/>
              <w:left w:type="dxa" w:w="120"/>
              <w:bottom w:type="dxa" w:w="80"/>
              <w:right w:type="dxa" w:w="120"/>
            </w:tcMar>
            <w:vAlign w:val="center"/>
          </w:tcPr>
          <w:p>
            <w:r>
              <w:t xml:space="preserve">⑥ Next mission</w:t>
            </w:r>
          </w:p>
        </w:tc>
        <w:tc>
          <w:tcPr>
            <w:tcW w:type="dxa" w:w="3200"/>
            <w:tcBorders>
              <w:top w:val="single" w:color="D9D9D9" w:sz="4"/>
              <w:left w:val="single" w:color="D9D9D9" w:sz="4"/>
              <w:bottom w:val="single" w:color="D9D9D9" w:sz="4"/>
              <w:right w:val="single" w:color="D9D9D9" w:sz="4"/>
            </w:tcBorders>
            <w:shd w:fill="FFF3D6" w:val="clear"/>
            <w:tcMar>
              <w:top w:type="dxa" w:w="80"/>
              <w:left w:type="dxa" w:w="120"/>
              <w:bottom w:type="dxa" w:w="80"/>
              <w:right w:type="dxa" w:w="120"/>
            </w:tcMar>
            <w:vAlign w:val="center"/>
          </w:tcPr>
          <w:p>
            <w:r>
              <w:t xml:space="preserve">Game learning analytics·teacher report</w:t>
            </w:r>
          </w:p>
        </w:tc>
        <w:tc>
          <w:tcPr>
            <w:tcW w:type="dxa" w:w="4260"/>
            <w:tcBorders>
              <w:top w:val="single" w:color="D9D9D9" w:sz="4"/>
              <w:left w:val="single" w:color="D9D9D9" w:sz="4"/>
              <w:bottom w:val="single" w:color="D9D9D9" w:sz="4"/>
              <w:right w:val="single" w:color="D9D9D9" w:sz="4"/>
            </w:tcBorders>
            <w:shd w:fill="FFF3D6" w:val="clear"/>
            <w:tcMar>
              <w:top w:type="dxa" w:w="80"/>
              <w:left w:type="dxa" w:w="120"/>
              <w:bottom w:type="dxa" w:w="80"/>
              <w:right w:type="dxa" w:w="120"/>
            </w:tcMar>
            <w:vAlign w:val="center"/>
          </w:tcPr>
          <w:p>
            <w:r>
              <w:t xml:space="preserve">Feed mistake and pronunciation data into the next class’s personalization.</w:t>
            </w:r>
          </w:p>
        </w:tc>
      </w:tr>
    </w:tbl>
    <w:p>
      <w:r>
        <w:br w:type="page"/>
      </w:r>
    </w:p>
    <w:p>
      <w:pPr>
        <w:pStyle w:val="Heading1"/>
      </w:pPr>
      <w:r>
        <w:t xml:space="preserve">4. Teacher Training Roadmap</w:t>
      </w:r>
    </w:p>
    <w:p>
      <w:pPr>
        <w:pStyle w:val="Heading2"/>
      </w:pPr>
      <w:r>
        <w:t xml:space="preserve">A. Required Onboarding Training (At Hire)</w:t>
      </w:r>
    </w:p>
    <w:p>
      <w:pPr>
        <w:spacing w:after="120" w:before="0"/>
      </w:pPr>
      <w:r>
        <w:t xml:space="preserve">Items every new teacher must pass before their first real class.</w:t>
      </w:r>
    </w:p>
    <w:p>
      <w:pPr>
        <w:pStyle w:val="ListParagraph"/>
        <w:numPr>
          <w:ilvl w:val="0"/>
          <w:numId w:val="2"/>
        </w:numPr>
        <w:spacing w:after="60"/>
      </w:pPr>
      <w:r>
        <w:t xml:space="preserve">Watch demo classes: view 3–5 recordings of top teachers, then write down 3 things that made the child laugh.</w:t>
      </w:r>
    </w:p>
    <w:p>
      <w:pPr>
        <w:pStyle w:val="ListParagraph"/>
        <w:numPr>
          <w:ilvl w:val="0"/>
          <w:numId w:val="2"/>
        </w:numPr>
        <w:spacing w:after="60"/>
      </w:pPr>
      <w:r>
        <w:t xml:space="preserve">Mock class (role-play): a trainer plays a ‘distracted 8-year-old’ while the teacher practices reactions, transitions, and re-focusing.</w:t>
      </w:r>
    </w:p>
    <w:p>
      <w:pPr>
        <w:pStyle w:val="ListParagraph"/>
        <w:numPr>
          <w:ilvl w:val="0"/>
          <w:numId w:val="2"/>
        </w:numPr>
        <w:spacing w:after="60"/>
      </w:pPr>
      <w:r>
        <w:t xml:space="preserve">Platform proficiency test: verify the teacher can run the game tab, 3D battle, star ratings, and screen share smoothly (half of engagement comes from smooth operation).</w:t>
      </w:r>
    </w:p>
    <w:p>
      <w:pPr>
        <w:pStyle w:val="Heading2"/>
      </w:pPr>
      <w:r>
        <w:t xml:space="preserve">B. Continuous Training (In Operation)</w:t>
      </w:r>
    </w:p>
    <w:p>
      <w:pPr>
        <w:spacing w:after="120" w:before="0"/>
      </w:pPr>
      <w:r>
        <w:t xml:space="preserve">Skill grows from repeated feedback, not from onboarding alone.</w:t>
      </w:r>
    </w:p>
    <w:p>
      <w:pPr>
        <w:pStyle w:val="ListParagraph"/>
        <w:numPr>
          <w:ilvl w:val="0"/>
          <w:numId w:val="2"/>
        </w:numPr>
        <w:spacing w:after="60"/>
      </w:pPr>
      <w:r>
        <w:t xml:space="preserve">Monthly peer review: teachers share class recordings and give each other 1 strength + 1 improvement.</w:t>
      </w:r>
    </w:p>
    <w:p>
      <w:pPr>
        <w:pStyle w:val="ListParagraph"/>
        <w:numPr>
          <w:ilvl w:val="0"/>
          <w:numId w:val="2"/>
        </w:numPr>
        <w:spacing w:after="60"/>
      </w:pPr>
      <w:r>
        <w:t xml:space="preserve">Best-clip sharing: collect “that reaction was great” moments in a team channel to spread good practice.</w:t>
      </w:r>
    </w:p>
    <w:p>
      <w:pPr>
        <w:pStyle w:val="ListParagraph"/>
        <w:numPr>
          <w:ilvl w:val="0"/>
          <w:numId w:val="2"/>
        </w:numPr>
        <w:spacing w:after="60"/>
      </w:pPr>
      <w:r>
        <w:t xml:space="preserve">Data-driven 1:1 coaching: pull each teacher’s star ratings, game analytics, and churn-risk graph, and give low-engagement teachers concrete fixes.</w:t>
      </w:r>
    </w:p>
    <w:p>
      <w:pPr>
        <w:pStyle w:val="Heading2"/>
      </w:pPr>
      <w:r>
        <w:t xml:space="preserve">C. Linking Evaluation &amp; Rewards</w:t>
      </w:r>
    </w:p>
    <w:p>
      <w:pPr>
        <w:spacing w:after="120" w:before="0"/>
      </w:pPr>
      <w:r>
        <w:t xml:space="preserve">A “do well → gain” structure is what creates voluntary quality competition.</w:t>
      </w:r>
    </w:p>
    <w:p>
      <w:pPr>
        <w:pStyle w:val="ListParagraph"/>
        <w:numPr>
          <w:ilvl w:val="0"/>
          <w:numId w:val="2"/>
        </w:numPr>
        <w:spacing w:after="60"/>
      </w:pPr>
      <w:r>
        <w:t xml:space="preserve">Teacher KPI = a blend of student star ratings + re-enrollment rate + game/class participation.</w:t>
      </w:r>
    </w:p>
    <w:p>
      <w:pPr>
        <w:pStyle w:val="ListParagraph"/>
        <w:numPr>
          <w:ilvl w:val="0"/>
          <w:numId w:val="2"/>
        </w:numPr>
        <w:spacing w:after="60"/>
      </w:pPr>
      <w:r>
        <w:t xml:space="preserve">Motivate with incentives for top teachers and ‘excellent teacher’ badges.</w:t>
      </w:r>
    </w:p>
    <w:p>
      <w:pPr>
        <w:pStyle w:val="ListParagraph"/>
        <w:numPr>
          <w:ilvl w:val="0"/>
          <w:numId w:val="2"/>
        </w:numPr>
        <w:spacing w:after="60"/>
      </w:pPr>
      <w:r>
        <w:t xml:space="preserve">Route low performers to coaching, not punishment (diagnose the cause with data).</w:t>
      </w:r>
    </w:p>
    <w:p>
      <w:r>
        <w:br w:type="page"/>
      </w:r>
    </w:p>
    <w:p>
      <w:pPr>
        <w:pStyle w:val="Heading1"/>
      </w:pPr>
      <w:r>
        <w:t xml:space="preserve">5. Age-Specific Teaching Tips</w:t>
      </w:r>
    </w:p>
    <w:p>
      <w:pPr>
        <w:spacing w:after="120" w:before="0"/>
      </w:pPr>
      <w:r>
        <w:t xml:space="preserve">Even the same ‘fun’ works differently by age. Below is a quick-reference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500"/>
        <w:gridCol w:w="6160"/>
      </w:tblGrid>
      <w:tr>
        <w:trPr>
          <w:tblHeader/>
        </w:trPr>
        <w:tc>
          <w:tcPr>
            <w:tcW w:type="dxa" w:w="1700"/>
            <w:tcBorders>
              <w:top w:val="single" w:color="D9D9D9" w:sz="4"/>
              <w:left w:val="single" w:color="D9D9D9" w:sz="4"/>
              <w:bottom w:val="single" w:color="D9D9D9" w:sz="4"/>
              <w:right w:val="single" w:color="D9D9D9" w:sz="4"/>
            </w:tcBorders>
            <w:shd w:fill="F2A900" w:val="clear"/>
            <w:tcMar>
              <w:top w:type="dxa" w:w="80"/>
              <w:left w:type="dxa" w:w="120"/>
              <w:bottom w:type="dxa" w:w="80"/>
              <w:right w:type="dxa" w:w="120"/>
            </w:tcMar>
            <w:vAlign w:val="center"/>
          </w:tcPr>
          <w:p>
            <w:r>
              <w:rPr>
                <w:b/>
                <w:bCs/>
                <w:color w:val="FFFFFF"/>
              </w:rPr>
              <w:t xml:space="preserve">Age</w:t>
            </w:r>
          </w:p>
        </w:tc>
        <w:tc>
          <w:tcPr>
            <w:tcW w:type="dxa" w:w="1500"/>
            <w:tcBorders>
              <w:top w:val="single" w:color="D9D9D9" w:sz="4"/>
              <w:left w:val="single" w:color="D9D9D9" w:sz="4"/>
              <w:bottom w:val="single" w:color="D9D9D9" w:sz="4"/>
              <w:right w:val="single" w:color="D9D9D9" w:sz="4"/>
            </w:tcBorders>
            <w:shd w:fill="F2A900" w:val="clear"/>
            <w:tcMar>
              <w:top w:type="dxa" w:w="80"/>
              <w:left w:type="dxa" w:w="120"/>
              <w:bottom w:type="dxa" w:w="80"/>
              <w:right w:type="dxa" w:w="120"/>
            </w:tcMar>
            <w:vAlign w:val="center"/>
          </w:tcPr>
          <w:p>
            <w:r>
              <w:rPr>
                <w:b/>
                <w:bCs/>
                <w:color w:val="FFFFFF"/>
              </w:rPr>
              <w:t xml:space="preserve">Attention Span</w:t>
            </w:r>
          </w:p>
        </w:tc>
        <w:tc>
          <w:tcPr>
            <w:tcW w:type="dxa" w:w="6160"/>
            <w:tcBorders>
              <w:top w:val="single" w:color="D9D9D9" w:sz="4"/>
              <w:left w:val="single" w:color="D9D9D9" w:sz="4"/>
              <w:bottom w:val="single" w:color="D9D9D9" w:sz="4"/>
              <w:right w:val="single" w:color="D9D9D9" w:sz="4"/>
            </w:tcBorders>
            <w:shd w:fill="F2A900" w:val="clear"/>
            <w:tcMar>
              <w:top w:type="dxa" w:w="80"/>
              <w:left w:type="dxa" w:w="120"/>
              <w:bottom w:type="dxa" w:w="80"/>
              <w:right w:type="dxa" w:w="120"/>
            </w:tcMar>
            <w:vAlign w:val="center"/>
          </w:tcPr>
          <w:p>
            <w:r>
              <w:rPr>
                <w:b/>
                <w:bCs/>
                <w:color w:val="FFFFFF"/>
              </w:rPr>
              <w:t xml:space="preserve">Key Tips</w:t>
            </w:r>
          </w:p>
        </w:tc>
      </w:tr>
      <w:tr>
        <w:tc>
          <w:tcPr>
            <w:tcW w:type="dxa" w:w="17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center"/>
          </w:tcPr>
          <w:p>
            <w:pPr>
              <w:spacing w:after="0" w:before="0"/>
            </w:pPr>
            <w:r>
              <w:rPr>
                <w:b/>
                <w:bCs/>
              </w:rPr>
              <w:t xml:space="preserve">5–7 (early)</w:t>
            </w:r>
          </w:p>
        </w:tc>
        <w:tc>
          <w:tcPr>
            <w:tcW w:type="dxa" w:w="15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center"/>
          </w:tcPr>
          <w:p>
            <w:r>
              <w:t xml:space="preserve">~5–7 min</w:t>
            </w:r>
          </w:p>
        </w:tc>
        <w:tc>
          <w:tcPr>
            <w:tcW w:type="dxa" w:w="616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center"/>
          </w:tcPr>
          <w:p>
            <w:r>
              <w:t xml:space="preserve">Songs, movement, puppets, exaggerated faces. Simple-rule games. Praise instantly and loudly. Sound and pictures over letters.</w:t>
            </w:r>
          </w:p>
        </w:tc>
      </w:tr>
      <w:tr>
        <w:tc>
          <w:tcPr>
            <w:tcW w:type="dxa" w:w="1700"/>
            <w:tcBorders>
              <w:top w:val="single" w:color="D9D9D9" w:sz="4"/>
              <w:left w:val="single" w:color="D9D9D9" w:sz="4"/>
              <w:bottom w:val="single" w:color="D9D9D9" w:sz="4"/>
              <w:right w:val="single" w:color="D9D9D9" w:sz="4"/>
            </w:tcBorders>
            <w:shd w:fill="FFF3D6" w:val="clear"/>
            <w:tcMar>
              <w:top w:type="dxa" w:w="80"/>
              <w:left w:type="dxa" w:w="120"/>
              <w:bottom w:type="dxa" w:w="80"/>
              <w:right w:type="dxa" w:w="120"/>
            </w:tcMar>
            <w:vAlign w:val="center"/>
          </w:tcPr>
          <w:p>
            <w:pPr>
              <w:spacing w:after="0" w:before="0"/>
            </w:pPr>
            <w:r>
              <w:rPr>
                <w:b/>
                <w:bCs/>
              </w:rPr>
              <w:t xml:space="preserve">8–10 (lower elem.)</w:t>
            </w:r>
          </w:p>
        </w:tc>
        <w:tc>
          <w:tcPr>
            <w:tcW w:type="dxa" w:w="1500"/>
            <w:tcBorders>
              <w:top w:val="single" w:color="D9D9D9" w:sz="4"/>
              <w:left w:val="single" w:color="D9D9D9" w:sz="4"/>
              <w:bottom w:val="single" w:color="D9D9D9" w:sz="4"/>
              <w:right w:val="single" w:color="D9D9D9" w:sz="4"/>
            </w:tcBorders>
            <w:shd w:fill="FFF3D6" w:val="clear"/>
            <w:tcMar>
              <w:top w:type="dxa" w:w="80"/>
              <w:left w:type="dxa" w:w="120"/>
              <w:bottom w:type="dxa" w:w="80"/>
              <w:right w:type="dxa" w:w="120"/>
            </w:tcMar>
            <w:vAlign w:val="center"/>
          </w:tcPr>
          <w:p>
            <w:r>
              <w:t xml:space="preserve">~8–10 min</w:t>
            </w:r>
          </w:p>
        </w:tc>
        <w:tc>
          <w:tcPr>
            <w:tcW w:type="dxa" w:w="6160"/>
            <w:tcBorders>
              <w:top w:val="single" w:color="D9D9D9" w:sz="4"/>
              <w:left w:val="single" w:color="D9D9D9" w:sz="4"/>
              <w:bottom w:val="single" w:color="D9D9D9" w:sz="4"/>
              <w:right w:val="single" w:color="D9D9D9" w:sz="4"/>
            </w:tcBorders>
            <w:shd w:fill="FFF3D6" w:val="clear"/>
            <w:tcMar>
              <w:top w:type="dxa" w:w="80"/>
              <w:left w:type="dxa" w:w="120"/>
              <w:bottom w:type="dxa" w:w="80"/>
              <w:right w:type="dxa" w:w="120"/>
            </w:tcMar>
            <w:vAlign w:val="center"/>
          </w:tcPr>
          <w:p>
            <w:r>
              <w:t xml:space="preserve">Respond strongly to missions, rewards, badges. Repeat short game rounds. Use the ‘joy of winning’ (3D battle, shooter).</w:t>
            </w:r>
          </w:p>
        </w:tc>
      </w:tr>
      <w:tr>
        <w:tc>
          <w:tcPr>
            <w:tcW w:type="dxa" w:w="17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center"/>
          </w:tcPr>
          <w:p>
            <w:pPr>
              <w:spacing w:after="0" w:before="0"/>
            </w:pPr>
            <w:r>
              <w:rPr>
                <w:b/>
                <w:bCs/>
              </w:rPr>
              <w:t xml:space="preserve">11–13 (upper elem.)</w:t>
            </w:r>
          </w:p>
        </w:tc>
        <w:tc>
          <w:tcPr>
            <w:tcW w:type="dxa" w:w="15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center"/>
          </w:tcPr>
          <w:p>
            <w:r>
              <w:t xml:space="preserve">~12–15 min</w:t>
            </w:r>
          </w:p>
        </w:tc>
        <w:tc>
          <w:tcPr>
            <w:tcW w:type="dxa" w:w="616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center"/>
          </w:tcPr>
          <w:p>
            <w:r>
              <w:t xml:space="preserve">Start responding to ‘why am I learning this.’ Peer comparison, rankings, progress graphs work well. Connect to interests (games, K-pop).</w:t>
            </w:r>
          </w:p>
        </w:tc>
      </w:tr>
      <w:tr>
        <w:tc>
          <w:tcPr>
            <w:tcW w:type="dxa" w:w="1700"/>
            <w:tcBorders>
              <w:top w:val="single" w:color="D9D9D9" w:sz="4"/>
              <w:left w:val="single" w:color="D9D9D9" w:sz="4"/>
              <w:bottom w:val="single" w:color="D9D9D9" w:sz="4"/>
              <w:right w:val="single" w:color="D9D9D9" w:sz="4"/>
            </w:tcBorders>
            <w:shd w:fill="FFF3D6" w:val="clear"/>
            <w:tcMar>
              <w:top w:type="dxa" w:w="80"/>
              <w:left w:type="dxa" w:w="120"/>
              <w:bottom w:type="dxa" w:w="80"/>
              <w:right w:type="dxa" w:w="120"/>
            </w:tcMar>
            <w:vAlign w:val="center"/>
          </w:tcPr>
          <w:p>
            <w:pPr>
              <w:spacing w:after="0" w:before="0"/>
            </w:pPr>
            <w:r>
              <w:rPr>
                <w:b/>
                <w:bCs/>
              </w:rPr>
              <w:t xml:space="preserve">14+ (teens)</w:t>
            </w:r>
          </w:p>
        </w:tc>
        <w:tc>
          <w:tcPr>
            <w:tcW w:type="dxa" w:w="1500"/>
            <w:tcBorders>
              <w:top w:val="single" w:color="D9D9D9" w:sz="4"/>
              <w:left w:val="single" w:color="D9D9D9" w:sz="4"/>
              <w:bottom w:val="single" w:color="D9D9D9" w:sz="4"/>
              <w:right w:val="single" w:color="D9D9D9" w:sz="4"/>
            </w:tcBorders>
            <w:shd w:fill="FFF3D6" w:val="clear"/>
            <w:tcMar>
              <w:top w:type="dxa" w:w="80"/>
              <w:left w:type="dxa" w:w="120"/>
              <w:bottom w:type="dxa" w:w="80"/>
              <w:right w:type="dxa" w:w="120"/>
            </w:tcMar>
            <w:vAlign w:val="center"/>
          </w:tcPr>
          <w:p>
            <w:r>
              <w:t xml:space="preserve">~15–20 min</w:t>
            </w:r>
          </w:p>
        </w:tc>
        <w:tc>
          <w:tcPr>
            <w:tcW w:type="dxa" w:w="6160"/>
            <w:tcBorders>
              <w:top w:val="single" w:color="D9D9D9" w:sz="4"/>
              <w:left w:val="single" w:color="D9D9D9" w:sz="4"/>
              <w:bottom w:val="single" w:color="D9D9D9" w:sz="4"/>
              <w:right w:val="single" w:color="D9D9D9" w:sz="4"/>
            </w:tcBorders>
            <w:shd w:fill="FFF3D6" w:val="clear"/>
            <w:tcMar>
              <w:top w:type="dxa" w:w="80"/>
              <w:left w:type="dxa" w:w="120"/>
              <w:bottom w:type="dxa" w:w="80"/>
              <w:right w:type="dxa" w:w="120"/>
            </w:tcMar>
            <w:vAlign w:val="center"/>
          </w:tcPr>
          <w:p>
            <w:r>
              <w:t xml:space="preserve">Feeling respected matters. Motivate via exams and real-life relevance. Overly childish theatrics backfire — win with visible achievement.</w:t>
            </w:r>
          </w:p>
        </w:tc>
      </w:tr>
    </w:tbl>
    <w:p>
      <w:r>
        <w:br w:type="page"/>
      </w:r>
    </w:p>
    <w:p>
      <w:pPr>
        <w:pStyle w:val="Heading1"/>
      </w:pPr>
      <w:r>
        <w:t xml:space="preserve">Appendix A. Class Checklist</w:t>
      </w:r>
    </w:p>
    <w:p>
      <w:pPr>
        <w:spacing w:after="120" w:before="0"/>
      </w:pPr>
      <w:r>
        <w:rPr>
          <w:i/>
          <w:iCs/>
          <w:color w:val="555555"/>
        </w:rPr>
        <w:t xml:space="preserve">For teachers to self-check every class. Print it and keep it beside you.</w:t>
      </w:r>
    </w:p>
    <w:p>
      <w:pPr>
        <w:pStyle w:val="Heading3"/>
      </w:pPr>
      <w:r>
        <w:t xml:space="preserve">Before Class (2 min)</w:t>
      </w:r>
    </w:p>
    <w:p>
      <w:pPr>
        <w:pStyle w:val="ListParagraph"/>
        <w:numPr>
          <w:ilvl w:val="0"/>
          <w:numId w:val="3"/>
        </w:numPr>
        <w:spacing w:after="60"/>
      </w:pPr>
      <w:r>
        <w:t xml:space="preserve">I reviewed the child’s name, last class’s mistakes, and interests.</w:t>
      </w:r>
    </w:p>
    <w:p>
      <w:pPr>
        <w:pStyle w:val="ListParagraph"/>
        <w:numPr>
          <w:ilvl w:val="0"/>
          <w:numId w:val="3"/>
        </w:numPr>
        <w:spacing w:after="60"/>
      </w:pPr>
      <w:r>
        <w:t xml:space="preserve">I set one small goal for today.</w:t>
      </w:r>
    </w:p>
    <w:p>
      <w:pPr>
        <w:pStyle w:val="ListParagraph"/>
        <w:numPr>
          <w:ilvl w:val="0"/>
          <w:numId w:val="3"/>
        </w:numPr>
        <w:spacing w:after="60"/>
      </w:pPr>
      <w:r>
        <w:t xml:space="preserve">I pre-tested that the game tab, textbook, and screen share work.</w:t>
      </w:r>
    </w:p>
    <w:p>
      <w:pPr>
        <w:pStyle w:val="ListParagraph"/>
        <w:numPr>
          <w:ilvl w:val="0"/>
          <w:numId w:val="3"/>
        </w:numPr>
        <w:spacing w:after="60"/>
      </w:pPr>
      <w:r>
        <w:t xml:space="preserve">I checked lighting, camera angle, and that my face looks bright.</w:t>
      </w:r>
    </w:p>
    <w:p>
      <w:pPr>
        <w:pStyle w:val="Heading3"/>
      </w:pPr>
      <w:r>
        <w:t xml:space="preserve">During Class</w:t>
      </w:r>
    </w:p>
    <w:p>
      <w:pPr>
        <w:pStyle w:val="ListParagraph"/>
        <w:numPr>
          <w:ilvl w:val="0"/>
          <w:numId w:val="3"/>
        </w:numPr>
        <w:spacing w:after="60"/>
      </w:pPr>
      <w:r>
        <w:t xml:space="preserve">I made the child laugh within the first 30 seconds.</w:t>
      </w:r>
    </w:p>
    <w:p>
      <w:pPr>
        <w:pStyle w:val="ListParagraph"/>
        <w:numPr>
          <w:ilvl w:val="0"/>
          <w:numId w:val="3"/>
        </w:numPr>
        <w:spacing w:after="60"/>
      </w:pPr>
      <w:r>
        <w:t xml:space="preserve">The child is talking more than I am (60%+).</w:t>
      </w:r>
    </w:p>
    <w:p>
      <w:pPr>
        <w:pStyle w:val="ListParagraph"/>
        <w:numPr>
          <w:ilvl w:val="0"/>
          <w:numId w:val="3"/>
        </w:numPr>
        <w:spacing w:after="60"/>
      </w:pPr>
      <w:r>
        <w:t xml:space="preserve">I waited 3 seconds after questions (I did not say the answer first).</w:t>
      </w:r>
    </w:p>
    <w:p>
      <w:pPr>
        <w:pStyle w:val="ListParagraph"/>
        <w:numPr>
          <w:ilvl w:val="0"/>
          <w:numId w:val="3"/>
        </w:numPr>
        <w:spacing w:after="60"/>
      </w:pPr>
      <w:r>
        <w:t xml:space="preserve">I switched activities within 5–7 minutes.</w:t>
      </w:r>
    </w:p>
    <w:p>
      <w:pPr>
        <w:pStyle w:val="ListParagraph"/>
        <w:numPr>
          <w:ilvl w:val="0"/>
          <w:numId w:val="3"/>
        </w:numPr>
        <w:spacing w:after="60"/>
      </w:pPr>
      <w:r>
        <w:t xml:space="preserve">I called the child by name multiple times.</w:t>
      </w:r>
    </w:p>
    <w:p>
      <w:pPr>
        <w:pStyle w:val="ListParagraph"/>
        <w:numPr>
          <w:ilvl w:val="0"/>
          <w:numId w:val="3"/>
        </w:numPr>
        <w:spacing w:after="60"/>
      </w:pPr>
      <w:r>
        <w:t xml:space="preserve">I praised wins instantly and specifically, and made them visible with stars/mascot.</w:t>
      </w:r>
    </w:p>
    <w:p>
      <w:pPr>
        <w:pStyle w:val="Heading3"/>
      </w:pPr>
      <w:r>
        <w:t xml:space="preserve">After Class (2 min)</w:t>
      </w:r>
    </w:p>
    <w:p>
      <w:pPr>
        <w:pStyle w:val="ListParagraph"/>
        <w:numPr>
          <w:ilvl w:val="0"/>
          <w:numId w:val="3"/>
        </w:numPr>
        <w:spacing w:after="60"/>
      </w:pPr>
      <w:r>
        <w:t xml:space="preserve">I recorded star ratings and game results.</w:t>
      </w:r>
    </w:p>
    <w:p>
      <w:pPr>
        <w:pStyle w:val="ListParagraph"/>
        <w:numPr>
          <w:ilvl w:val="0"/>
          <w:numId w:val="3"/>
        </w:numPr>
        <w:spacing w:after="60"/>
      </w:pPr>
      <w:r>
        <w:t xml:space="preserve">I saved mistake/pronunciation data for the next class.</w:t>
      </w:r>
    </w:p>
    <w:p>
      <w:pPr>
        <w:pStyle w:val="ListParagraph"/>
        <w:numPr>
          <w:ilvl w:val="0"/>
          <w:numId w:val="3"/>
        </w:numPr>
        <w:spacing w:after="60"/>
      </w:pPr>
      <w:r>
        <w:t xml:space="preserve">I noted one idea for this child’s next class.</w:t>
      </w:r>
    </w:p>
    <w:p>
      <w:r>
        <w:br w:type="page"/>
      </w:r>
    </w:p>
    <w:p>
      <w:pPr>
        <w:pStyle w:val="Heading1"/>
      </w:pPr>
      <w:r>
        <w:t xml:space="preserve">Appendix B. Teacher Evaluation Rubric</w:t>
      </w:r>
    </w:p>
    <w:p>
      <w:pPr>
        <w:spacing w:after="120" w:before="0"/>
      </w:pPr>
      <w:r>
        <w:rPr>
          <w:i/>
          <w:iCs/>
          <w:color w:val="555555"/>
        </w:rPr>
        <w:t xml:space="preserve">A 6-item scale for managers/trainers during class observation or video review. Score each item 1–3, sum, and set coaching priority.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60"/>
        <w:gridCol w:w="2266"/>
        <w:gridCol w:w="2267"/>
        <w:gridCol w:w="2267"/>
      </w:tblGrid>
      <w:tr>
        <w:trPr>
          <w:tblHeader/>
        </w:trPr>
        <w:tc>
          <w:tcPr>
            <w:tcW w:type="dxa" w:w="2560"/>
            <w:tcBorders>
              <w:top w:val="single" w:color="D9D9D9" w:sz="4"/>
              <w:left w:val="single" w:color="D9D9D9" w:sz="4"/>
              <w:bottom w:val="single" w:color="D9D9D9" w:sz="4"/>
              <w:right w:val="single" w:color="D9D9D9" w:sz="4"/>
            </w:tcBorders>
            <w:shd w:fill="F2A900" w:val="clear"/>
            <w:tcMar>
              <w:top w:type="dxa" w:w="80"/>
              <w:left w:type="dxa" w:w="120"/>
              <w:bottom w:type="dxa" w:w="80"/>
              <w:right w:type="dxa" w:w="120"/>
            </w:tcMar>
            <w:vAlign w:val="center"/>
          </w:tcPr>
          <w:p>
            <w:r>
              <w:rPr>
                <w:b/>
                <w:bCs/>
                <w:color w:val="FFFFFF"/>
              </w:rPr>
              <w:t xml:space="preserve">Criterion</w:t>
            </w:r>
          </w:p>
        </w:tc>
        <w:tc>
          <w:tcPr>
            <w:tcW w:type="dxa" w:w="2266"/>
            <w:tcBorders>
              <w:top w:val="single" w:color="D9D9D9" w:sz="4"/>
              <w:left w:val="single" w:color="D9D9D9" w:sz="4"/>
              <w:bottom w:val="single" w:color="D9D9D9" w:sz="4"/>
              <w:right w:val="single" w:color="D9D9D9" w:sz="4"/>
            </w:tcBorders>
            <w:shd w:fill="C0392B" w:val="clear"/>
            <w:tcMar>
              <w:top w:type="dxa" w:w="80"/>
              <w:left w:type="dxa" w:w="120"/>
              <w:bottom w:type="dxa" w:w="80"/>
              <w:right w:type="dxa" w:w="120"/>
            </w:tcMar>
            <w:vAlign w:val="center"/>
          </w:tcPr>
          <w:p>
            <w:r>
              <w:rPr>
                <w:b/>
                <w:bCs/>
                <w:color w:val="FFFFFF"/>
              </w:rPr>
              <w:t xml:space="preserve">1 – Needs Work</w:t>
            </w:r>
          </w:p>
        </w:tc>
        <w:tc>
          <w:tcPr>
            <w:tcW w:type="dxa" w:w="2267"/>
            <w:tcBorders>
              <w:top w:val="single" w:color="D9D9D9" w:sz="4"/>
              <w:left w:val="single" w:color="D9D9D9" w:sz="4"/>
              <w:bottom w:val="single" w:color="D9D9D9" w:sz="4"/>
              <w:right w:val="single" w:color="D9D9D9" w:sz="4"/>
            </w:tcBorders>
            <w:shd w:fill="E67E22" w:val="clear"/>
            <w:tcMar>
              <w:top w:type="dxa" w:w="80"/>
              <w:left w:type="dxa" w:w="120"/>
              <w:bottom w:type="dxa" w:w="80"/>
              <w:right w:type="dxa" w:w="120"/>
            </w:tcMar>
            <w:vAlign w:val="center"/>
          </w:tcPr>
          <w:p>
            <w:r>
              <w:rPr>
                <w:b/>
                <w:bCs/>
                <w:color w:val="FFFFFF"/>
              </w:rPr>
              <w:t xml:space="preserve">2 – Adequate</w:t>
            </w:r>
          </w:p>
        </w:tc>
        <w:tc>
          <w:tcPr>
            <w:tcW w:type="dxa" w:w="2267"/>
            <w:tcBorders>
              <w:top w:val="single" w:color="D9D9D9" w:sz="4"/>
              <w:left w:val="single" w:color="D9D9D9" w:sz="4"/>
              <w:bottom w:val="single" w:color="D9D9D9" w:sz="4"/>
              <w:right w:val="single" w:color="D9D9D9" w:sz="4"/>
            </w:tcBorders>
            <w:shd w:fill="27AE60" w:val="clear"/>
            <w:tcMar>
              <w:top w:type="dxa" w:w="80"/>
              <w:left w:type="dxa" w:w="120"/>
              <w:bottom w:type="dxa" w:w="80"/>
              <w:right w:type="dxa" w:w="120"/>
            </w:tcMar>
            <w:vAlign w:val="center"/>
          </w:tcPr>
          <w:p>
            <w:r>
              <w:rPr>
                <w:b/>
                <w:bCs/>
                <w:color w:val="FFFFFF"/>
              </w:rPr>
              <w:t xml:space="preserve">3 – Excellent</w:t>
            </w:r>
          </w:p>
        </w:tc>
      </w:tr>
      <w:tr>
        <w:tc>
          <w:tcPr>
            <w:tcW w:type="dxa" w:w="256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center"/>
          </w:tcPr>
          <w:p>
            <w:pPr>
              <w:spacing w:after="0" w:before="0"/>
            </w:pPr>
            <w:r>
              <w:rPr>
                <w:b/>
                <w:bCs/>
              </w:rPr>
              <w:t xml:space="preserve">Energy &amp; expression</w:t>
            </w:r>
          </w:p>
        </w:tc>
        <w:tc>
          <w:tcPr>
            <w:tcW w:type="dxa" w:w="2266"/>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center"/>
          </w:tcPr>
          <w:p>
            <w:pPr>
              <w:spacing w:after="0" w:before="0"/>
            </w:pPr>
            <w:r>
              <w:t xml:space="preserve">Blank face, monotone, few reactions</w:t>
            </w:r>
          </w:p>
        </w:tc>
        <w:tc>
          <w:tcPr>
            <w:tcW w:type="dxa" w:w="2267"/>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center"/>
          </w:tcPr>
          <w:p>
            <w:pPr>
              <w:spacing w:after="0" w:before="0"/>
            </w:pPr>
            <w:r>
              <w:t xml:space="preserve">Adequately bright but inconsistent</w:t>
            </w:r>
          </w:p>
        </w:tc>
        <w:tc>
          <w:tcPr>
            <w:tcW w:type="dxa" w:w="2267"/>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center"/>
          </w:tcPr>
          <w:p>
            <w:pPr>
              <w:spacing w:after="0" w:before="0"/>
            </w:pPr>
            <w:r>
              <w:t xml:space="preserve">Energy clearly reaches through the screen; child laughs often</w:t>
            </w:r>
          </w:p>
        </w:tc>
      </w:tr>
      <w:tr>
        <w:tc>
          <w:tcPr>
            <w:tcW w:type="dxa" w:w="2560"/>
            <w:tcBorders>
              <w:top w:val="single" w:color="D9D9D9" w:sz="4"/>
              <w:left w:val="single" w:color="D9D9D9" w:sz="4"/>
              <w:bottom w:val="single" w:color="D9D9D9" w:sz="4"/>
              <w:right w:val="single" w:color="D9D9D9" w:sz="4"/>
            </w:tcBorders>
            <w:shd w:fill="FFF3D6" w:val="clear"/>
            <w:tcMar>
              <w:top w:type="dxa" w:w="80"/>
              <w:left w:type="dxa" w:w="120"/>
              <w:bottom w:type="dxa" w:w="80"/>
              <w:right w:type="dxa" w:w="120"/>
            </w:tcMar>
            <w:vAlign w:val="center"/>
          </w:tcPr>
          <w:p>
            <w:pPr>
              <w:spacing w:after="0" w:before="0"/>
            </w:pPr>
            <w:r>
              <w:rPr>
                <w:b/>
                <w:bCs/>
              </w:rPr>
              <w:t xml:space="preserve">Driving student talk</w:t>
            </w:r>
          </w:p>
        </w:tc>
        <w:tc>
          <w:tcPr>
            <w:tcW w:type="dxa" w:w="2266"/>
            <w:tcBorders>
              <w:top w:val="single" w:color="D9D9D9" w:sz="4"/>
              <w:left w:val="single" w:color="D9D9D9" w:sz="4"/>
              <w:bottom w:val="single" w:color="D9D9D9" w:sz="4"/>
              <w:right w:val="single" w:color="D9D9D9" w:sz="4"/>
            </w:tcBorders>
            <w:shd w:fill="FFF3D6" w:val="clear"/>
            <w:tcMar>
              <w:top w:type="dxa" w:w="80"/>
              <w:left w:type="dxa" w:w="120"/>
              <w:bottom w:type="dxa" w:w="80"/>
              <w:right w:type="dxa" w:w="120"/>
            </w:tcMar>
            <w:vAlign w:val="center"/>
          </w:tcPr>
          <w:p>
            <w:pPr>
              <w:spacing w:after="0" w:before="0"/>
            </w:pPr>
            <w:r>
              <w:t xml:space="preserve">Teacher does most talking (excess TTT)</w:t>
            </w:r>
          </w:p>
        </w:tc>
        <w:tc>
          <w:tcPr>
            <w:tcW w:type="dxa" w:w="2267"/>
            <w:tcBorders>
              <w:top w:val="single" w:color="D9D9D9" w:sz="4"/>
              <w:left w:val="single" w:color="D9D9D9" w:sz="4"/>
              <w:bottom w:val="single" w:color="D9D9D9" w:sz="4"/>
              <w:right w:val="single" w:color="D9D9D9" w:sz="4"/>
            </w:tcBorders>
            <w:shd w:fill="FFF3D6" w:val="clear"/>
            <w:tcMar>
              <w:top w:type="dxa" w:w="80"/>
              <w:left w:type="dxa" w:w="120"/>
              <w:bottom w:type="dxa" w:w="80"/>
              <w:right w:type="dxa" w:w="120"/>
            </w:tcMar>
            <w:vAlign w:val="center"/>
          </w:tcPr>
          <w:p>
            <w:pPr>
              <w:spacing w:after="0" w:before="0"/>
            </w:pPr>
            <w:r>
              <w:t xml:space="preserve">About half student talk</w:t>
            </w:r>
          </w:p>
        </w:tc>
        <w:tc>
          <w:tcPr>
            <w:tcW w:type="dxa" w:w="2267"/>
            <w:tcBorders>
              <w:top w:val="single" w:color="D9D9D9" w:sz="4"/>
              <w:left w:val="single" w:color="D9D9D9" w:sz="4"/>
              <w:bottom w:val="single" w:color="D9D9D9" w:sz="4"/>
              <w:right w:val="single" w:color="D9D9D9" w:sz="4"/>
            </w:tcBorders>
            <w:shd w:fill="FFF3D6" w:val="clear"/>
            <w:tcMar>
              <w:top w:type="dxa" w:w="80"/>
              <w:left w:type="dxa" w:w="120"/>
              <w:bottom w:type="dxa" w:w="80"/>
              <w:right w:type="dxa" w:w="120"/>
            </w:tcMar>
            <w:vAlign w:val="center"/>
          </w:tcPr>
          <w:p>
            <w:pPr>
              <w:spacing w:after="0" w:before="0"/>
            </w:pPr>
            <w:r>
              <w:t xml:space="preserve">Student talk 60%+; skilled ask→wait→speak</w:t>
            </w:r>
          </w:p>
        </w:tc>
      </w:tr>
      <w:tr>
        <w:tc>
          <w:tcPr>
            <w:tcW w:type="dxa" w:w="256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center"/>
          </w:tcPr>
          <w:p>
            <w:pPr>
              <w:spacing w:after="0" w:before="0"/>
            </w:pPr>
            <w:r>
              <w:rPr>
                <w:b/>
                <w:bCs/>
              </w:rPr>
              <w:t xml:space="preserve">Making wins visible</w:t>
            </w:r>
          </w:p>
        </w:tc>
        <w:tc>
          <w:tcPr>
            <w:tcW w:type="dxa" w:w="2266"/>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center"/>
          </w:tcPr>
          <w:p>
            <w:pPr>
              <w:spacing w:after="0" w:before="0"/>
            </w:pPr>
            <w:r>
              <w:t xml:space="preserve">Little praise or reward</w:t>
            </w:r>
          </w:p>
        </w:tc>
        <w:tc>
          <w:tcPr>
            <w:tcW w:type="dxa" w:w="2267"/>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center"/>
          </w:tcPr>
          <w:p>
            <w:pPr>
              <w:spacing w:after="0" w:before="0"/>
            </w:pPr>
            <w:r>
              <w:t xml:space="preserve">Praises, but vaguely</w:t>
            </w:r>
          </w:p>
        </w:tc>
        <w:tc>
          <w:tcPr>
            <w:tcW w:type="dxa" w:w="2267"/>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center"/>
          </w:tcPr>
          <w:p>
            <w:pPr>
              <w:spacing w:after="0" w:before="0"/>
            </w:pPr>
            <w:r>
              <w:t xml:space="preserve">Celebrates wins concretely and instantly with stars/badges/mascot</w:t>
            </w:r>
          </w:p>
        </w:tc>
      </w:tr>
      <w:tr>
        <w:tc>
          <w:tcPr>
            <w:tcW w:type="dxa" w:w="2560"/>
            <w:tcBorders>
              <w:top w:val="single" w:color="D9D9D9" w:sz="4"/>
              <w:left w:val="single" w:color="D9D9D9" w:sz="4"/>
              <w:bottom w:val="single" w:color="D9D9D9" w:sz="4"/>
              <w:right w:val="single" w:color="D9D9D9" w:sz="4"/>
            </w:tcBorders>
            <w:shd w:fill="FFF3D6" w:val="clear"/>
            <w:tcMar>
              <w:top w:type="dxa" w:w="80"/>
              <w:left w:type="dxa" w:w="120"/>
              <w:bottom w:type="dxa" w:w="80"/>
              <w:right w:type="dxa" w:w="120"/>
            </w:tcMar>
            <w:vAlign w:val="center"/>
          </w:tcPr>
          <w:p>
            <w:pPr>
              <w:spacing w:after="0" w:before="0"/>
            </w:pPr>
            <w:r>
              <w:rPr>
                <w:b/>
                <w:bCs/>
              </w:rPr>
              <w:t xml:space="preserve">Personalization</w:t>
            </w:r>
          </w:p>
        </w:tc>
        <w:tc>
          <w:tcPr>
            <w:tcW w:type="dxa" w:w="2266"/>
            <w:tcBorders>
              <w:top w:val="single" w:color="D9D9D9" w:sz="4"/>
              <w:left w:val="single" w:color="D9D9D9" w:sz="4"/>
              <w:bottom w:val="single" w:color="D9D9D9" w:sz="4"/>
              <w:right w:val="single" w:color="D9D9D9" w:sz="4"/>
            </w:tcBorders>
            <w:shd w:fill="FFF3D6" w:val="clear"/>
            <w:tcMar>
              <w:top w:type="dxa" w:w="80"/>
              <w:left w:type="dxa" w:w="120"/>
              <w:bottom w:type="dxa" w:w="80"/>
              <w:right w:type="dxa" w:w="120"/>
            </w:tcMar>
            <w:vAlign w:val="center"/>
          </w:tcPr>
          <w:p>
            <w:pPr>
              <w:spacing w:after="0" w:before="0"/>
            </w:pPr>
            <w:r>
              <w:t xml:space="preserve">Same script for everyone</w:t>
            </w:r>
          </w:p>
        </w:tc>
        <w:tc>
          <w:tcPr>
            <w:tcW w:type="dxa" w:w="2267"/>
            <w:tcBorders>
              <w:top w:val="single" w:color="D9D9D9" w:sz="4"/>
              <w:left w:val="single" w:color="D9D9D9" w:sz="4"/>
              <w:bottom w:val="single" w:color="D9D9D9" w:sz="4"/>
              <w:right w:val="single" w:color="D9D9D9" w:sz="4"/>
            </w:tcBorders>
            <w:shd w:fill="FFF3D6" w:val="clear"/>
            <w:tcMar>
              <w:top w:type="dxa" w:w="80"/>
              <w:left w:type="dxa" w:w="120"/>
              <w:bottom w:type="dxa" w:w="80"/>
              <w:right w:type="dxa" w:w="120"/>
            </w:tcMar>
            <w:vAlign w:val="center"/>
          </w:tcPr>
          <w:p>
            <w:pPr>
              <w:spacing w:after="0" w:before="0"/>
            </w:pPr>
            <w:r>
              <w:t xml:space="preserve">Uses at least the name</w:t>
            </w:r>
          </w:p>
        </w:tc>
        <w:tc>
          <w:tcPr>
            <w:tcW w:type="dxa" w:w="2267"/>
            <w:tcBorders>
              <w:top w:val="single" w:color="D9D9D9" w:sz="4"/>
              <w:left w:val="single" w:color="D9D9D9" w:sz="4"/>
              <w:bottom w:val="single" w:color="D9D9D9" w:sz="4"/>
              <w:right w:val="single" w:color="D9D9D9" w:sz="4"/>
            </w:tcBorders>
            <w:shd w:fill="FFF3D6" w:val="clear"/>
            <w:tcMar>
              <w:top w:type="dxa" w:w="80"/>
              <w:left w:type="dxa" w:w="120"/>
              <w:bottom w:type="dxa" w:w="80"/>
              <w:right w:type="dxa" w:w="120"/>
            </w:tcMar>
            <w:vAlign w:val="center"/>
          </w:tcPr>
          <w:p>
            <w:pPr>
              <w:spacing w:after="0" w:before="0"/>
            </w:pPr>
            <w:r>
              <w:t xml:space="preserve">Adapts to interests and mistakes for a made-for-me class</w:t>
            </w:r>
          </w:p>
        </w:tc>
      </w:tr>
      <w:tr>
        <w:tc>
          <w:tcPr>
            <w:tcW w:type="dxa" w:w="256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center"/>
          </w:tcPr>
          <w:p>
            <w:pPr>
              <w:spacing w:after="0" w:before="0"/>
            </w:pPr>
            <w:r>
              <w:rPr>
                <w:b/>
                <w:bCs/>
              </w:rPr>
              <w:t xml:space="preserve">Rhythm &amp; transitions</w:t>
            </w:r>
          </w:p>
        </w:tc>
        <w:tc>
          <w:tcPr>
            <w:tcW w:type="dxa" w:w="2266"/>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center"/>
          </w:tcPr>
          <w:p>
            <w:pPr>
              <w:spacing w:after="0" w:before="0"/>
            </w:pPr>
            <w:r>
              <w:t xml:space="preserve">One activity dragged out; sags</w:t>
            </w:r>
          </w:p>
        </w:tc>
        <w:tc>
          <w:tcPr>
            <w:tcW w:type="dxa" w:w="2267"/>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center"/>
          </w:tcPr>
          <w:p>
            <w:pPr>
              <w:spacing w:after="0" w:before="0"/>
            </w:pPr>
            <w:r>
              <w:t xml:space="preserve">Transitions exist but a bit late</w:t>
            </w:r>
          </w:p>
        </w:tc>
        <w:tc>
          <w:tcPr>
            <w:tcW w:type="dxa" w:w="2267"/>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center"/>
          </w:tcPr>
          <w:p>
            <w:pPr>
              <w:spacing w:after="0" w:before="0"/>
            </w:pPr>
            <w:r>
              <w:t xml:space="preserve">5–7 min rhythm and game placement keep engagement to the end</w:t>
            </w:r>
          </w:p>
        </w:tc>
      </w:tr>
      <w:tr>
        <w:tc>
          <w:tcPr>
            <w:tcW w:type="dxa" w:w="2560"/>
            <w:tcBorders>
              <w:top w:val="single" w:color="D9D9D9" w:sz="4"/>
              <w:left w:val="single" w:color="D9D9D9" w:sz="4"/>
              <w:bottom w:val="single" w:color="D9D9D9" w:sz="4"/>
              <w:right w:val="single" w:color="D9D9D9" w:sz="4"/>
            </w:tcBorders>
            <w:shd w:fill="FFF3D6" w:val="clear"/>
            <w:tcMar>
              <w:top w:type="dxa" w:w="80"/>
              <w:left w:type="dxa" w:w="120"/>
              <w:bottom w:type="dxa" w:w="80"/>
              <w:right w:type="dxa" w:w="120"/>
            </w:tcMar>
            <w:vAlign w:val="center"/>
          </w:tcPr>
          <w:p>
            <w:pPr>
              <w:spacing w:after="0" w:before="0"/>
            </w:pPr>
            <w:r>
              <w:rPr>
                <w:b/>
                <w:bCs/>
              </w:rPr>
              <w:t xml:space="preserve">Platform use</w:t>
            </w:r>
          </w:p>
        </w:tc>
        <w:tc>
          <w:tcPr>
            <w:tcW w:type="dxa" w:w="2266"/>
            <w:tcBorders>
              <w:top w:val="single" w:color="D9D9D9" w:sz="4"/>
              <w:left w:val="single" w:color="D9D9D9" w:sz="4"/>
              <w:bottom w:val="single" w:color="D9D9D9" w:sz="4"/>
              <w:right w:val="single" w:color="D9D9D9" w:sz="4"/>
            </w:tcBorders>
            <w:shd w:fill="FFF3D6" w:val="clear"/>
            <w:tcMar>
              <w:top w:type="dxa" w:w="80"/>
              <w:left w:type="dxa" w:w="120"/>
              <w:bottom w:type="dxa" w:w="80"/>
              <w:right w:type="dxa" w:w="120"/>
            </w:tcMar>
            <w:vAlign w:val="center"/>
          </w:tcPr>
          <w:p>
            <w:pPr>
              <w:spacing w:after="0" w:before="0"/>
            </w:pPr>
            <w:r>
              <w:t xml:space="preserve">Barely uses features; stumbles</w:t>
            </w:r>
          </w:p>
        </w:tc>
        <w:tc>
          <w:tcPr>
            <w:tcW w:type="dxa" w:w="2267"/>
            <w:tcBorders>
              <w:top w:val="single" w:color="D9D9D9" w:sz="4"/>
              <w:left w:val="single" w:color="D9D9D9" w:sz="4"/>
              <w:bottom w:val="single" w:color="D9D9D9" w:sz="4"/>
              <w:right w:val="single" w:color="D9D9D9" w:sz="4"/>
            </w:tcBorders>
            <w:shd w:fill="FFF3D6" w:val="clear"/>
            <w:tcMar>
              <w:top w:type="dxa" w:w="80"/>
              <w:left w:type="dxa" w:w="120"/>
              <w:bottom w:type="dxa" w:w="80"/>
              <w:right w:type="dxa" w:w="120"/>
            </w:tcMar>
            <w:vAlign w:val="center"/>
          </w:tcPr>
          <w:p>
            <w:pPr>
              <w:spacing w:after="0" w:before="0"/>
            </w:pPr>
            <w:r>
              <w:t xml:space="preserve">Uses basic features</w:t>
            </w:r>
          </w:p>
        </w:tc>
        <w:tc>
          <w:tcPr>
            <w:tcW w:type="dxa" w:w="2267"/>
            <w:tcBorders>
              <w:top w:val="single" w:color="D9D9D9" w:sz="4"/>
              <w:left w:val="single" w:color="D9D9D9" w:sz="4"/>
              <w:bottom w:val="single" w:color="D9D9D9" w:sz="4"/>
              <w:right w:val="single" w:color="D9D9D9" w:sz="4"/>
            </w:tcBorders>
            <w:shd w:fill="FFF3D6" w:val="clear"/>
            <w:tcMar>
              <w:top w:type="dxa" w:w="80"/>
              <w:left w:type="dxa" w:w="120"/>
              <w:bottom w:type="dxa" w:w="80"/>
              <w:right w:type="dxa" w:w="120"/>
            </w:tcMar>
            <w:vAlign w:val="center"/>
          </w:tcPr>
          <w:p>
            <w:pPr>
              <w:spacing w:after="0" w:before="0"/>
            </w:pPr>
            <w:r>
              <w:t xml:space="preserve">Blends games, battle, and ratings smoothly into the class</w:t>
            </w:r>
          </w:p>
        </w:tc>
      </w:tr>
    </w:tbl>
    <w:p>
      <w:pPr>
        <w:spacing w:after="120" w:before="0"/>
      </w:pPr>
      <w:r>
        <w:t xml:space="preserve"/>
      </w:r>
    </w:p>
    <w:p>
      <w:pPr>
        <w:spacing w:after="120" w:before="0"/>
      </w:pPr>
      <w:r>
        <w:rPr>
          <w:i/>
          <w:iCs/>
          <w:color w:val="555555"/>
          <w:sz w:val="20"/>
          <w:szCs w:val="20"/>
        </w:rPr>
        <w:t xml:space="preserve">* Total 15–18: excellent teacher (mentor/best-clip candidate) / 10–14: solid (partial coaching) / 9 or below: intensive coaching.</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6"/>
        <w:szCs w:val="16"/>
      </w:rPr>
      <w:t xml:space="preserve">Mangoi · Confidential   •   </w:t>
    </w:r>
    <w:r>
      <w:rPr>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F2A900" w:sz="4" w:space="4"/>
      </w:pBdr>
      <w:jc w:val="right"/>
    </w:pPr>
    <w:r>
      <w:rPr>
        <w:color w:val="B26A00"/>
        <w:sz w:val="16"/>
        <w:szCs w:val="16"/>
      </w:rPr>
      <w:t xml:space="preserve">Mangoi Teacher Training Manual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20" w:hanging="320"/>
      </w:pPr>
    </w:lvl>
  </w:abstractNum>
  <w:abstractNum w:abstractNumId="3" w15:restartNumberingAfterBreak="0">
    <w:multiLevelType w:val="hybridMultilevel"/>
    <w:lvl w:ilvl="0" w15:tentative="1">
      <w:start w:val="1"/>
      <w:numFmt w:val="bullet"/>
      <w:lvlText w:val="☐"/>
      <w:lvlJc w:val="left"/>
      <w:pPr>
        <w:ind w:left="620" w:hanging="320"/>
      </w:pPr>
    </w:lvl>
  </w:abstractNum>
  <w:abstractNum w:abstractNumId="4" w15:restartNumberingAfterBreak="0">
    <w:multiLevelType w:val="hybridMultilevel"/>
    <w:lvl w:ilvl="0" w15:tentative="1">
      <w:start w:val="1"/>
      <w:numFmt w:val="decimal"/>
      <w:lvlText w:val="%1."/>
      <w:lvlJc w:val="left"/>
      <w:pPr>
        <w:ind w:left="620" w:hanging="32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120"/>
      <w:jc w:val="center"/>
    </w:pPr>
    <w:rPr>
      <w:rFonts w:ascii="Arial" w:cs="Arial" w:eastAsia="Arial" w:hAnsi="Arial"/>
      <w:b/>
      <w:bCs/>
      <w:color w:val="B26A00"/>
      <w:sz w:val="52"/>
      <w:szCs w:val="52"/>
    </w:rPr>
  </w:style>
  <w:style w:type="paragraph" w:styleId="Heading1">
    <w:name w:val="Heading 1"/>
    <w:basedOn w:val="Normal"/>
    <w:next w:val="Normal"/>
    <w:qFormat/>
    <w:pPr>
      <w:pBdr>
        <w:bottom w:val="single" w:color="F2A900" w:sz="8" w:space="4"/>
      </w:pBdr>
      <w:spacing w:after="160" w:before="320"/>
      <w:outlineLvl w:val="0"/>
    </w:pPr>
    <w:rPr>
      <w:rFonts w:ascii="Arial" w:cs="Arial" w:eastAsia="Arial" w:hAnsi="Arial"/>
      <w:b/>
      <w:bCs/>
      <w:color w:val="B26A00"/>
      <w:sz w:val="32"/>
      <w:szCs w:val="32"/>
    </w:rPr>
  </w:style>
  <w:style w:type="paragraph" w:styleId="Heading2">
    <w:name w:val="Heading 2"/>
    <w:basedOn w:val="Normal"/>
    <w:next w:val="Normal"/>
    <w:qFormat/>
    <w:pPr>
      <w:spacing w:after="100" w:before="220"/>
      <w:outlineLvl w:val="1"/>
    </w:pPr>
    <w:rPr>
      <w:rFonts w:ascii="Arial" w:cs="Arial" w:eastAsia="Arial" w:hAnsi="Arial"/>
      <w:b/>
      <w:bCs/>
      <w:color w:val="333333"/>
      <w:sz w:val="26"/>
      <w:szCs w:val="26"/>
    </w:rPr>
  </w:style>
  <w:style w:type="paragraph" w:styleId="Heading3">
    <w:name w:val="Heading 3"/>
    <w:basedOn w:val="Normal"/>
    <w:next w:val="Normal"/>
    <w:qFormat/>
    <w:pPr>
      <w:spacing w:after="60" w:before="140"/>
      <w:outlineLvl w:val="2"/>
    </w:pPr>
    <w:rPr>
      <w:rFonts w:ascii="Arial" w:cs="Arial" w:eastAsia="Arial" w:hAnsi="Arial"/>
      <w:b/>
      <w:bCs/>
      <w:color w:val="B26A00"/>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2026-07-03T15:45:39.869Z</dcterms:created>
  <dcterms:modified xsi:type="dcterms:W3CDTF">2026-07-03T15:45:39.869Z</dcterms:modified>
</cp:coreProperties>
</file>

<file path=docProps/custom.xml><?xml version="1.0" encoding="utf-8"?>
<Properties xmlns="http://schemas.openxmlformats.org/officeDocument/2006/custom-properties" xmlns:vt="http://schemas.openxmlformats.org/officeDocument/2006/docPropsVTypes"/>
</file>