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Aptos" w:hAnsi="Aptos"/>
          <w:b/>
          <w:color w:val="087E8B"/>
          <w:sz w:val="18"/>
        </w:rPr>
        <w:t>PROJECT SUBMISSION  |  17 OCTOBER 2026</w:t>
      </w:r>
    </w:p>
    <w:p>
      <w:pPr>
        <w:pStyle w:val="Title"/>
        <w:keepNext/>
        <w:spacing w:after="40"/>
      </w:pPr>
      <w:r>
        <w:rPr>
          <w:color w:val="000000"/>
        </w:rPr>
        <w:t>RootLens</w:t>
      </w:r>
    </w:p>
    <w:p>
      <w:pPr>
        <w:spacing w:after="320"/>
      </w:pPr>
      <w:r>
        <w:rPr>
          <w:color w:val="596B78"/>
          <w:sz w:val="26"/>
        </w:rPr>
        <w:t>Hybrid RAG Root Cause Analysis for a Spring Boot Shopping Application</w:t>
      </w:r>
    </w:p>
    <w:p>
      <w:r>
        <w:rPr>
          <w:color w:val="596B78"/>
          <w:sz w:val="18"/>
        </w:rPr>
        <w:t>Prepared for project review</w:t>
      </w:r>
    </w:p>
    <w:p>
      <w:pPr>
        <w:pStyle w:val="Heading1"/>
      </w:pPr>
      <w:r>
        <w:t>1. One liner</w:t>
      </w:r>
    </w:p>
    <w:tbl>
      <w:tblPr>
        <w:tblW w:type="auto" w:w="0"/>
        <w:jc w:val="center"/>
        <w:tblLook w:firstColumn="1" w:firstRow="1" w:lastColumn="0" w:lastRow="0" w:noHBand="0" w:noVBand="1" w:val="04A0"/>
      </w:tblPr>
      <w:tblGrid>
        <w:gridCol w:w="9994"/>
      </w:tblGrid>
      <w:tr>
        <w:tc>
          <w:tcPr>
            <w:tcW w:type="dxa" w:w="9994"/>
            <w:vAlign w:val="center"/>
            <w:shd w:fill="E8F5F4"/>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17324D"/>
                <w:sz w:val="20"/>
              </w:rPr>
              <w:t>RootLens helps developers answer where and why a known defect occurred in a Spring Boot shopping app from 125 method-level Java source chunks and observed checkout events in a web RCA console, with 100% Hit@3 retrieval coverage across three known defects and a proposed p95 response target under 10 seconds.</w:t>
            </w:r>
          </w:p>
        </w:tc>
      </w:tr>
    </w:tbl>
    <w:p/>
    <w:p>
      <w:pPr>
        <w:pStyle w:val="Heading1"/>
      </w:pPr>
      <w:r>
        <w:t>2. About the project</w:t>
      </w:r>
    </w:p>
    <w:p>
      <w:r>
        <w:t>RootLens pairs a small customer-facing shopping site with a developer investigation console. The storefront demonstrates product browsing, cart and coupon behavior, checkout, simulated payment processing, and inventory reservation; the console turns seeded defects and observed order events into source-linked investigations.</w:t>
      </w:r>
    </w:p>
    <w:p>
      <w:r>
        <w:t>A developer can select one of the known defects or inspect an order, review its event sequence, see the likely cause and remediation, inspect retrieved Java evidence with file and line citations, and download an RCA report. Separate views expose the shopping services’ dependency graph and the RAG index’s chunks and vectors.</w:t>
      </w:r>
    </w:p>
    <w:tbl>
      <w:tblPr>
        <w:tblW w:type="auto" w:w="0"/>
        <w:jc w:val="center"/>
        <w:tblLayout w:type="fixed"/>
        <w:tblLook w:firstColumn="1" w:firstRow="1" w:lastColumn="0" w:lastRow="0" w:noHBand="0" w:noVBand="1" w:val="04A0"/>
      </w:tblPr>
      <w:tblGrid>
        <w:gridCol w:w="4997"/>
        <w:gridCol w:w="4997"/>
      </w:tblGrid>
      <w:tr>
        <w:tc>
          <w:tcPr>
            <w:tcW w:type="dxa" w:w="2232"/>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Submission snapshot</w:t>
            </w:r>
          </w:p>
        </w:tc>
        <w:tc>
          <w:tcPr>
            <w:tcW w:type="dxa" w:w="8136"/>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Current implementation</w:t>
            </w:r>
          </w:p>
        </w:tc>
      </w:tr>
      <w:tr>
        <w:tc>
          <w:tcPr>
            <w:tcW w:type="dxa" w:w="223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Runtime stack</w:t>
            </w:r>
          </w:p>
        </w:tc>
        <w:tc>
          <w:tcPr>
            <w:tcW w:type="dxa" w:w="813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Java 21 · Spring Boot 4.1.1 · Maven · HTML/CSS/JavaScript</w:t>
            </w:r>
          </w:p>
        </w:tc>
      </w:tr>
      <w:tr>
        <w:tc>
          <w:tcPr>
            <w:tcW w:type="dxa" w:w="223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Source corpus</w:t>
            </w:r>
          </w:p>
        </w:tc>
        <w:tc>
          <w:tcPr>
            <w:tcW w:type="dxa" w:w="813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125 method-level chunks from the Spring Boot shopping application</w:t>
            </w:r>
          </w:p>
        </w:tc>
      </w:tr>
      <w:tr>
        <w:tc>
          <w:tcPr>
            <w:tcW w:type="dxa" w:w="223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Vector service</w:t>
            </w:r>
          </w:p>
        </w:tc>
        <w:tc>
          <w:tcPr>
            <w:tcW w:type="dxa" w:w="813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Pinecone integrated embedding · llama-text-embed-v2 · 1,024 dimensions · cosine</w:t>
            </w:r>
          </w:p>
        </w:tc>
      </w:tr>
      <w:tr>
        <w:tc>
          <w:tcPr>
            <w:tcW w:type="dxa" w:w="223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Evaluation</w:t>
            </w:r>
          </w:p>
        </w:tc>
        <w:tc>
          <w:tcPr>
            <w:tcW w:type="dxa" w:w="813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7"/>
              </w:rPr>
              <w:t>Hit@3 100% (3/3); Hit@1 33.3% (1/3); MRR 0.667; NDCG@3 0.754</w:t>
            </w:r>
          </w:p>
        </w:tc>
      </w:tr>
    </w:tbl>
    <w:p>
      <w:pPr>
        <w:spacing w:after="0"/>
      </w:pPr>
    </w:p>
    <w:p>
      <w:r>
        <w:br w:type="page"/>
      </w:r>
    </w:p>
    <w:p>
      <w:pPr>
        <w:pStyle w:val="Heading1"/>
      </w:pPr>
      <w:r>
        <w:t>3. The framework</w:t>
      </w:r>
    </w:p>
    <w:p>
      <w:r>
        <w:t>This framework describes the deployed demo as it exists today. The repository is the source of truth for code; observed shopping events are runtime telemetry generated by the sample application.</w:t>
      </w:r>
    </w:p>
    <w:tbl>
      <w:tblPr>
        <w:tblW w:type="auto" w:w="0"/>
        <w:jc w:val="center"/>
        <w:tblLayout w:type="fixed"/>
        <w:tblLook w:firstColumn="1" w:firstRow="1" w:lastColumn="0" w:lastRow="0" w:noHBand="0" w:noVBand="1" w:val="04A0"/>
      </w:tblPr>
      <w:tblGrid>
        <w:gridCol w:w="4997"/>
        <w:gridCol w:w="4997"/>
      </w:tblGrid>
      <w:tr>
        <w:tc>
          <w:tcPr>
            <w:tcW w:type="dxa" w:w="2232"/>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Field</w:t>
            </w:r>
          </w:p>
        </w:tc>
        <w:tc>
          <w:tcPr>
            <w:tcW w:type="dxa" w:w="8136"/>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RootLens implementation</w:t>
            </w:r>
          </w:p>
        </w:tc>
      </w:tr>
      <w:tr>
        <w:tc>
          <w:tcPr>
            <w:tcW w:type="dxa" w:w="223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Use case</w:t>
            </w:r>
          </w:p>
        </w:tc>
        <w:tc>
          <w:tcPr>
            <w:tcW w:type="dxa" w:w="813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A developer asks where and why a known shopping-app defect occurred, or investigates an observed order. The experience appears in the RootLens web console at /dev and through REST endpoints.</w:t>
            </w:r>
          </w:p>
        </w:tc>
      </w:tr>
      <w:tr>
        <w:tc>
          <w:tcPr>
            <w:tcW w:type="dxa" w:w="223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Corpus</w:t>
            </w:r>
          </w:p>
        </w:tc>
        <w:tc>
          <w:tcPr>
            <w:tcW w:type="dxa" w:w="813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The code corpus is about 125 Java method chunks from 12 source files under src/main/java/dev/rootlens/shop; the Git working tree is authoritative. Order and checkout events are a separate, in-memory demo telemetry source and reset when the app restarts.</w:t>
            </w:r>
          </w:p>
        </w:tc>
      </w:tr>
      <w:tr>
        <w:tc>
          <w:tcPr>
            <w:tcW w:type="dxa" w:w="223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Ingestion + cleaning</w:t>
            </w:r>
          </w:p>
        </w:tc>
        <w:tc>
          <w:tcPr>
            <w:tcW w:type="dxa" w:w="813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The indexer scans Java files in sorted order and detects method declarations with a Java signature pattern plus brace matching. It keeps the method source, path, symbol, and line range; it does not ingest PDFs, runbooks, uploaded logs, or general documentation.</w:t>
            </w:r>
          </w:p>
        </w:tc>
      </w:tr>
      <w:tr>
        <w:tc>
          <w:tcPr>
            <w:tcW w:type="dxa" w:w="223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Ingestion + freshness</w:t>
            </w:r>
          </w:p>
        </w:tc>
        <w:tc>
          <w:tcPr>
            <w:tcW w:type="dxa" w:w="813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The source index is loaded on demand and cached in the application process; POST /api/rag/reindex reloads source and upserts records to Pinecone. Refresh is manual after code changes, and the project has no scheduled refresh or defined freshness SLA.</w:t>
            </w:r>
          </w:p>
        </w:tc>
      </w:tr>
      <w:tr>
        <w:tc>
          <w:tcPr>
            <w:tcW w:type="dxa" w:w="223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Chunking + embedding</w:t>
            </w:r>
          </w:p>
        </w:tc>
        <w:tc>
          <w:tcPr>
            <w:tcW w:type="dxa" w:w="813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Chunking is method-level rather than fixed-token or semantic-window chunking, which keeps citations aligned to named code units. Pinecone’s integrated llama-text-embed-v2 model produces 1,024-dimensional vectors searched with cosine similarity.</w:t>
            </w:r>
          </w:p>
        </w:tc>
      </w:tr>
      <w:tr>
        <w:tc>
          <w:tcPr>
            <w:tcW w:type="dxa" w:w="223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Retrieve</w:t>
            </w:r>
          </w:p>
        </w:tc>
        <w:tc>
          <w:tcPr>
            <w:tcW w:type="dxa" w:w="813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A local BM25 implementation supplies lexical ranking while Pinecone supplies dense semantic matches (candidate search top-k 30). RootLens combines normalized BM25 at 45% and cosine similarity at 55%, then returns up to four cited source passages; there is no cross-encoder reranker.</w:t>
            </w:r>
          </w:p>
        </w:tc>
      </w:tr>
    </w:tbl>
    <w:p>
      <w:pPr>
        <w:spacing w:after="0"/>
      </w:pPr>
    </w:p>
    <w:p>
      <w:pPr>
        <w:pStyle w:val="Heading2"/>
      </w:pPr>
      <w:r>
        <w:t>Retrieval and answer behavior</w:t>
      </w:r>
    </w:p>
    <w:p>
      <w:r>
        <w:t>With Pinecone available and the index fully covered, source retrieval is hybrid. If semantic search is unavailable, the service can fall back to local BM25. The current observed evaluation used Pinecone hybrid retrieval and deterministic built-in demo explanations; Ollama models are optional and were not the answer generator in that evaluation.</w:t>
      </w:r>
    </w:p>
    <w:p>
      <w:r>
        <w:br w:type="page"/>
      </w:r>
    </w:p>
    <w:p>
      <w:pPr>
        <w:pStyle w:val="Heading1"/>
      </w:pPr>
      <w:r>
        <w:t>4. Technical implementation</w:t>
      </w:r>
    </w:p>
    <w:p>
      <w:r>
        <w:t>RootLens is a single Spring Boot application with a static browser UI, REST controllers, application services, and a Pinecone adapter. It runs locally for the demo; no separate vector database service is embedded in the application.</w:t>
      </w:r>
    </w:p>
    <w:tbl>
      <w:tblPr>
        <w:tblW w:type="auto" w:w="0"/>
        <w:jc w:val="center"/>
        <w:tblLayout w:type="fixed"/>
        <w:tblLook w:firstColumn="1" w:firstRow="1" w:lastColumn="0" w:lastRow="0" w:noHBand="0" w:noVBand="1" w:val="04A0"/>
      </w:tblPr>
      <w:tblGrid>
        <w:gridCol w:w="4997"/>
        <w:gridCol w:w="4997"/>
      </w:tblGrid>
      <w:tr>
        <w:tc>
          <w:tcPr>
            <w:tcW w:type="dxa" w:w="2376"/>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Layer / component</w:t>
            </w:r>
          </w:p>
        </w:tc>
        <w:tc>
          <w:tcPr>
            <w:tcW w:type="dxa" w:w="7992"/>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Responsibility</w:t>
            </w:r>
          </w:p>
        </w:tc>
      </w:tr>
      <w:tr>
        <w:tc>
          <w:tcPr>
            <w:tcW w:type="dxa" w:w="237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Browser UI</w:t>
            </w:r>
          </w:p>
        </w:tc>
        <w:tc>
          <w:tcPr>
            <w:tcW w:type="dxa" w:w="799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HTML, CSS, and JavaScript pages for the storefront (/), investigation console (/dev), shopping dependency view (/view), and index/vector explorer (/visual).</w:t>
            </w:r>
          </w:p>
        </w:tc>
      </w:tr>
      <w:tr>
        <w:tc>
          <w:tcPr>
            <w:tcW w:type="dxa" w:w="237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Spring Boot API</w:t>
            </w:r>
          </w:p>
        </w:tc>
        <w:tc>
          <w:tcPr>
            <w:tcW w:type="dxa" w:w="799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ShopController exposes shopping, defect-analysis, order RCA, graph, index, vector, and reindex routes. DeveloperPageController serves the named UI pages.</w:t>
            </w:r>
          </w:p>
        </w:tc>
      </w:tr>
      <w:tr>
        <w:tc>
          <w:tcPr>
            <w:tcW w:type="dxa" w:w="237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CodeKnowledgeService</w:t>
            </w:r>
          </w:p>
        </w:tc>
        <w:tc>
          <w:tcPr>
            <w:tcW w:type="dxa" w:w="799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Builds method chunks, ranks lexical and semantic candidates, fuses retrieval scores, prepares citations, and applies deterministic defect-specific RCA guidance.</w:t>
            </w:r>
          </w:p>
        </w:tc>
      </w:tr>
      <w:tr>
        <w:tc>
          <w:tcPr>
            <w:tcW w:type="dxa" w:w="237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PineconeVectorStore</w:t>
            </w:r>
          </w:p>
        </w:tc>
        <w:tc>
          <w:tcPr>
            <w:tcW w:type="dxa" w:w="799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Uses Pinecone integrated embedding inference and the configured namespace rootlens-dev; upserts UTF-8 records in batches, queries semantic matches, fetches vectors, and reads index statistics.</w:t>
            </w:r>
          </w:p>
        </w:tc>
      </w:tr>
      <w:tr>
        <w:tc>
          <w:tcPr>
            <w:tcW w:type="dxa" w:w="2376"/>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LocalVectorStore / Ollama</w:t>
            </w:r>
          </w:p>
        </w:tc>
        <w:tc>
          <w:tcPr>
            <w:tcW w:type="dxa" w:w="799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Optional local embedding persistence and local model calls. Ollama supports qwen3-embedding:0.6b and qwen3:4b configuration; Pinecone-hosted embeddings are the active path in the reported evaluation.</w:t>
            </w:r>
          </w:p>
        </w:tc>
      </w:tr>
      <w:tr>
        <w:tc>
          <w:tcPr>
            <w:tcW w:type="dxa" w:w="2376"/>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Shopping domain services</w:t>
            </w:r>
          </w:p>
        </w:tc>
        <w:tc>
          <w:tcPr>
            <w:tcW w:type="dxa" w:w="799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ShopService coordinates checkout; PricingService, InventoryService, and PaymentService implement the demo behaviors; ShopModels contains product, order, request, and event records.</w:t>
            </w:r>
          </w:p>
        </w:tc>
      </w:tr>
    </w:tbl>
    <w:p>
      <w:pPr>
        <w:spacing w:after="0"/>
      </w:pPr>
    </w:p>
    <w:p>
      <w:pPr>
        <w:pStyle w:val="Heading2"/>
      </w:pPr>
      <w:r>
        <w:t>Key interfaces</w:t>
      </w:r>
    </w:p>
    <w:tbl>
      <w:tblPr>
        <w:tblW w:type="auto" w:w="0"/>
        <w:jc w:val="center"/>
        <w:tblLayout w:type="fixed"/>
        <w:tblLook w:firstColumn="1" w:firstRow="1" w:lastColumn="0" w:lastRow="0" w:noHBand="0" w:noVBand="1" w:val="04A0"/>
      </w:tblPr>
      <w:tblGrid>
        <w:gridCol w:w="4997"/>
        <w:gridCol w:w="4997"/>
      </w:tblGrid>
      <w:tr>
        <w:tc>
          <w:tcPr>
            <w:tcW w:type="dxa" w:w="3888"/>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Surface / endpoint</w:t>
            </w:r>
          </w:p>
        </w:tc>
        <w:tc>
          <w:tcPr>
            <w:tcW w:type="dxa" w:w="6480"/>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Purpose</w:t>
            </w:r>
          </w:p>
        </w:tc>
      </w:tr>
      <w:tr>
        <w:tc>
          <w:tcPr>
            <w:tcW w:type="dxa" w:w="3888"/>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/dev</w:t>
            </w:r>
          </w:p>
        </w:tc>
        <w:tc>
          <w:tcPr>
            <w:tcW w:type="dxa" w:w="6480"/>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Select a known defect or request, inspect observed events, analyze cause, review citations, and download the RCA.</w:t>
            </w:r>
          </w:p>
        </w:tc>
      </w:tr>
      <w:tr>
        <w:tc>
          <w:tcPr>
            <w:tcW w:type="dxa" w:w="3888"/>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/view</w:t>
            </w:r>
          </w:p>
        </w:tc>
        <w:tc>
          <w:tcPr>
            <w:tcW w:type="dxa" w:w="6480"/>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Explore the shopping-app service dependency map. Nodes and edges are explicitly defined application relationships, not GraphRAG output.</w:t>
            </w:r>
          </w:p>
        </w:tc>
      </w:tr>
      <w:tr>
        <w:tc>
          <w:tcPr>
            <w:tcW w:type="dxa" w:w="3888"/>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/visual</w:t>
            </w:r>
          </w:p>
        </w:tc>
        <w:tc>
          <w:tcPr>
            <w:tcW w:type="dxa" w:w="6480"/>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Inspect indexed source chunks, embedding coverage, and selected vector coordinates.</w:t>
            </w:r>
          </w:p>
        </w:tc>
      </w:tr>
      <w:tr>
        <w:tc>
          <w:tcPr>
            <w:tcW w:type="dxa" w:w="3888"/>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GET /api/rag/status · GET /api/rag/index</w:t>
            </w:r>
          </w:p>
        </w:tc>
        <w:tc>
          <w:tcPr>
            <w:tcW w:type="dxa" w:w="6480"/>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Read retrieval configuration, counts, chunk records, and indexing status.</w:t>
            </w:r>
          </w:p>
        </w:tc>
      </w:tr>
      <w:tr>
        <w:tc>
          <w:tcPr>
            <w:tcW w:type="dxa" w:w="3888"/>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GET /api/rag/chunks · GET /api/rag/chunks/{index}/embedding</w:t>
            </w:r>
          </w:p>
        </w:tc>
        <w:tc>
          <w:tcPr>
            <w:tcW w:type="dxa" w:w="6480"/>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List method chunks and fetch a selected embedding vector.</w:t>
            </w:r>
          </w:p>
        </w:tc>
      </w:tr>
      <w:tr>
        <w:tc>
          <w:tcPr>
            <w:tcW w:type="dxa" w:w="3888"/>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POST /api/rag/reindex · POST /api/rag/ask</w:t>
            </w:r>
          </w:p>
        </w:tc>
        <w:tc>
          <w:tcPr>
            <w:tcW w:type="dxa" w:w="6480"/>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Refresh the source index, or submit a retrieval question.</w:t>
            </w:r>
          </w:p>
        </w:tc>
      </w:tr>
      <w:tr>
        <w:tc>
          <w:tcPr>
            <w:tcW w:type="dxa" w:w="3888"/>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GET /api/bugs/{id}/analyze · GET /api/shop/orders/{id}/rca</w:t>
            </w:r>
          </w:p>
        </w:tc>
        <w:tc>
          <w:tcPr>
            <w:tcW w:type="dxa" w:w="6480"/>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5"/>
              </w:rPr>
              <w:t>Analyze seeded defects or correlate an order’s observed event sequence with code evidence.</w:t>
            </w:r>
          </w:p>
        </w:tc>
      </w:tr>
    </w:tbl>
    <w:p>
      <w:pPr>
        <w:spacing w:after="0"/>
      </w:pPr>
    </w:p>
    <w:p>
      <w:r>
        <w:br w:type="page"/>
      </w:r>
    </w:p>
    <w:p>
      <w:pPr>
        <w:pStyle w:val="Heading1"/>
      </w:pPr>
      <w:r>
        <w:t>5. How it works</w:t>
      </w:r>
    </w:p>
    <w:p>
      <w:pPr>
        <w:spacing w:after="120"/>
      </w:pPr>
      <w:r>
        <w:rPr>
          <w:b/>
          <w:color w:val="087E8B"/>
        </w:rPr>
        <w:t xml:space="preserve">1  Read source. </w:t>
      </w:r>
      <w:r>
        <w:t>The indexer scans the shopping app’s Java source files and recognizes method bodies. Each chunk retains its source path, method name, and line range.</w:t>
      </w:r>
    </w:p>
    <w:p>
      <w:pPr>
        <w:spacing w:after="120"/>
      </w:pPr>
      <w:r>
        <w:rPr>
          <w:b/>
          <w:color w:val="087E8B"/>
        </w:rPr>
        <w:t xml:space="preserve">2  Embed and index. </w:t>
      </w:r>
      <w:r>
        <w:t>On reindex, code chunks are sent to Pinecone in UTF-8 batches. Pinecone generates 1,024-dimensional vectors in the rootlens-dev namespace; the app reconciles stale record IDs.</w:t>
      </w:r>
    </w:p>
    <w:p>
      <w:pPr>
        <w:spacing w:after="120"/>
      </w:pPr>
      <w:r>
        <w:rPr>
          <w:b/>
          <w:color w:val="087E8B"/>
        </w:rPr>
        <w:t xml:space="preserve">3  Capture the question and telemetry. </w:t>
      </w:r>
      <w:r>
        <w:t>The developer selects a known defect or an order. For a request investigation, RootLens orders the request’s observed events by timestamp and derives signals such as coupon application, inventory reservation, or payment retry.</w:t>
      </w:r>
    </w:p>
    <w:p>
      <w:pPr>
        <w:spacing w:after="120"/>
      </w:pPr>
      <w:r>
        <w:rPr>
          <w:b/>
          <w:color w:val="087E8B"/>
        </w:rPr>
        <w:t xml:space="preserve">4  Retrieve and rank evidence. </w:t>
      </w:r>
      <w:r>
        <w:t>The query is ranked against source chunks with BM25 and Pinecone semantic search. RootLens fuses the normalized scores with the configured 45/55 weighting and selects the highest-ranked passages for citations.</w:t>
      </w:r>
    </w:p>
    <w:p>
      <w:pPr>
        <w:spacing w:after="120"/>
      </w:pPr>
      <w:r>
        <w:rPr>
          <w:b/>
          <w:color w:val="087E8B"/>
        </w:rPr>
        <w:t xml:space="preserve">5  Explain and report. </w:t>
      </w:r>
      <w:r>
        <w:t>Deterministic demo guidance explains the seeded defect using retrieved source evidence and, for order RCA, observed event facts. The UI shows source citations and remediation; the report can be downloaded. If evidence is absent, the analysis can be marked inconclusive.</w:t>
      </w:r>
    </w:p>
    <w:p>
      <w:pPr>
        <w:spacing w:after="120"/>
      </w:pPr>
      <w:r>
        <w:rPr>
          <w:b/>
          <w:color w:val="087E8B"/>
        </w:rPr>
        <w:t xml:space="preserve">6  Explore relationships. </w:t>
      </w:r>
      <w:r>
        <w:t>The /view screen shows manually curated shopping-service dependencies. The /visual screen is the RAG index inspector; it is separate from the application architecture graph.</w:t>
      </w:r>
    </w:p>
    <w:p>
      <w:pPr>
        <w:pStyle w:val="Heading2"/>
      </w:pPr>
      <w:r>
        <w:t>Evaluation evidence</w:t>
      </w:r>
    </w:p>
    <w:p>
      <w:r>
        <w:t>The current hybrid RAG evaluation used the three labeled known-defect cases in evaluation/gold-cases.json, one expected source method per case. The expected coupon method ranked first; the expected payment and inventory methods ranked second. All three expected methods appeared in the top three.</w:t>
      </w:r>
    </w:p>
    <w:tbl>
      <w:tblPr>
        <w:tblW w:type="auto" w:w="0"/>
        <w:jc w:val="center"/>
        <w:tblLayout w:type="fixed"/>
        <w:tblLook w:firstColumn="1" w:firstRow="1" w:lastColumn="0" w:lastRow="0" w:noHBand="0" w:noVBand="1" w:val="04A0"/>
      </w:tblPr>
      <w:tblGrid>
        <w:gridCol w:w="3331"/>
        <w:gridCol w:w="3331"/>
        <w:gridCol w:w="3331"/>
      </w:tblGrid>
      <w:tr>
        <w:tc>
          <w:tcPr>
            <w:tcW w:type="dxa" w:w="1512"/>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Metric</w:t>
            </w:r>
          </w:p>
        </w:tc>
        <w:tc>
          <w:tcPr>
            <w:tcW w:type="dxa" w:w="1944"/>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Result</w:t>
            </w:r>
          </w:p>
        </w:tc>
        <w:tc>
          <w:tcPr>
            <w:tcW w:type="dxa" w:w="6912"/>
            <w:vAlign w:val="center"/>
            <w:shd w:fill="17324D"/>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color w:val="FFFFFF"/>
                <w:sz w:val="16"/>
              </w:rPr>
              <w:t>Meaning</w:t>
            </w:r>
          </w:p>
        </w:tc>
      </w:tr>
      <w:tr>
        <w:tc>
          <w:tcPr>
            <w:tcW w:type="dxa" w:w="151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Hit@1</w:t>
            </w:r>
          </w:p>
        </w:tc>
        <w:tc>
          <w:tcPr>
            <w:tcW w:type="dxa" w:w="1944"/>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33.3% (1/3)</w:t>
            </w:r>
          </w:p>
        </w:tc>
        <w:tc>
          <w:tcPr>
            <w:tcW w:type="dxa" w:w="691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Expected method is first for one case.</w:t>
            </w:r>
          </w:p>
        </w:tc>
      </w:tr>
      <w:tr>
        <w:tc>
          <w:tcPr>
            <w:tcW w:type="dxa" w:w="151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Hit@3</w:t>
            </w:r>
          </w:p>
        </w:tc>
        <w:tc>
          <w:tcPr>
            <w:tcW w:type="dxa" w:w="1944"/>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100% (3/3)</w:t>
            </w:r>
          </w:p>
        </w:tc>
        <w:tc>
          <w:tcPr>
            <w:tcW w:type="dxa" w:w="691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Expected method appears in the first three for all cases.</w:t>
            </w:r>
          </w:p>
        </w:tc>
      </w:tr>
      <w:tr>
        <w:tc>
          <w:tcPr>
            <w:tcW w:type="dxa" w:w="151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MRR</w:t>
            </w:r>
          </w:p>
        </w:tc>
        <w:tc>
          <w:tcPr>
            <w:tcW w:type="dxa" w:w="1944"/>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0.667</w:t>
            </w:r>
          </w:p>
        </w:tc>
        <w:tc>
          <w:tcPr>
            <w:tcW w:type="dxa" w:w="6912"/>
            <w:vAlign w:val="center"/>
            <w:shd w:fill="F4F7FA"/>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Average reciprocal rank of the expected method.</w:t>
            </w:r>
          </w:p>
        </w:tc>
      </w:tr>
      <w:tr>
        <w:tc>
          <w:tcPr>
            <w:tcW w:type="dxa" w:w="151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NDCG@3</w:t>
            </w:r>
          </w:p>
        </w:tc>
        <w:tc>
          <w:tcPr>
            <w:tcW w:type="dxa" w:w="1944"/>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0.754</w:t>
            </w:r>
          </w:p>
        </w:tc>
        <w:tc>
          <w:tcPr>
            <w:tcW w:type="dxa" w:w="6912"/>
            <w:vAlign w:val="center"/>
            <w:shd w:fill="FFFFFF"/>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233746"/>
                <w:sz w:val="16"/>
              </w:rPr>
              <w:t>Rank-sensitive gain with one relevant source per case.</w:t>
            </w:r>
          </w:p>
        </w:tc>
      </w:tr>
    </w:tbl>
    <w:p>
      <w:pPr>
        <w:spacing w:after="0"/>
      </w:pPr>
    </w:p>
    <w:p>
      <w:r>
        <w:rPr>
          <w:color w:val="596B78"/>
          <w:sz w:val="17"/>
        </w:rPr>
        <w:t>These small-sample results measure source-retrieval ranking across three seeded defects. RootLens uses a proposed p95 response-time target of under 10 seconds.</w:t>
      </w:r>
    </w:p>
    <w:p>
      <w:r>
        <w:br w:type="page"/>
      </w:r>
    </w:p>
    <w:p>
      <w:pPr>
        <w:pStyle w:val="Heading1"/>
      </w:pPr>
      <w:r>
        <w:t>6. Prompt used to build this tool</w:t>
      </w:r>
    </w:p>
    <w:p>
      <w:r>
        <w:t>The original master brief asked for an enterprise-grade, evidence-backed RCA analyzer and directed the builder to inspect and improve the existing codebase. The following concise prompt captures that intent together with the project-specific requirements added during implementation; it is a submission-ready synthesis, not a verbatim transcript of every iteration.</w:t>
      </w:r>
    </w:p>
    <w:tbl>
      <w:tblPr>
        <w:tblW w:type="auto" w:w="0"/>
        <w:jc w:val="center"/>
        <w:tblLook w:firstColumn="1" w:firstRow="1" w:lastColumn="0" w:lastRow="0" w:noHBand="0" w:noVBand="1" w:val="04A0"/>
      </w:tblPr>
      <w:tblGrid>
        <w:gridCol w:w="9994"/>
      </w:tblGrid>
      <w:tr>
        <w:tc>
          <w:tcPr>
            <w:tcW w:type="dxa" w:w="9994"/>
            <w:vAlign w:val="center"/>
            <w:shd w:fill="EAF2F7"/>
            <w:tcBorders>
              <w:top w:val="single" w:sz="6" w:color="D5E0E8"/>
              <w:left w:val="single" w:sz="6" w:color="D5E0E8"/>
              <w:bottom w:val="single" w:sz="6" w:color="D5E0E8"/>
              <w:right w:val="single" w:sz="6" w:color="D5E0E8"/>
              <w:insideH w:val="single" w:sz="6" w:color="D5E0E8"/>
              <w:insideV w:val="single" w:sz="6" w:color="D5E0E8"/>
            </w:tcBorders>
          </w:tcPr>
          <w:p>
            <w:pPr>
              <w:spacing w:after="40" w:before="40" w:line="252" w:lineRule="auto"/>
            </w:pPr>
            <w:r/>
            <w:r>
              <w:rPr>
                <w:rFonts w:ascii="Aptos" w:hAnsi="Aptos"/>
                <w:b w:val="0"/>
                <w:color w:val="17324D"/>
                <w:sz w:val="18"/>
              </w:rPr>
              <w:t>Act as a principal AI engineer and extend the existing RootLens codebase without replacing working features. Build a polished developer-facing RCA demo around a Spring Boot shopping application. Index Java source at method granularity and preserve file, symbol, and line citations. Store code embeddings in Pinecone using llama-text-embed-v2 at 1,024 dimensions, and combine Pinecone semantic search with local BM25. Let developers inspect seeded coupon, payment, and inventory defects; correlate observed order events with retrieved code; explain where and why a defect occurred; show practical remediation; and download an RCA report. Provide a clear shopping-service dependency graph and a separate visual index inspector. Keep credentials in environment configuration, distinguish observed facts from inferred causes, never fabricate events or citations, expose retrieval status, and evaluate retrieval against the known defect cases. Document the implemented scope, measured results, and limitations honestly.</w:t>
            </w:r>
          </w:p>
        </w:tc>
      </w:tr>
    </w:tbl>
    <w:p>
      <w:pPr>
        <w:pStyle w:val="Heading2"/>
      </w:pPr>
      <w:r>
        <w:t>Original brief themes</w:t>
      </w:r>
    </w:p>
    <w:p>
      <w:r>
        <w:t>The supplied master prompt also proposed broader capabilities such as multi-format incident ingestion, timeline reconstruction, competing hypotheses, evidence verification, bounded diagnostic workflows, access controls, and evaluation of citation faithfulness, unsupported claims, and latency. These remain design goals rather than claims about the current demo implementation.</w:t>
      </w:r>
    </w:p>
    <w:p>
      <w:pPr>
        <w:pStyle w:val="Heading2"/>
      </w:pPr>
      <w:r>
        <w:t>Submission takeaway</w:t>
      </w:r>
    </w:p>
    <w:p>
      <w:r>
        <w:t>RootLens demonstrates a traceable code-RAG workflow on a realistic but bounded shopping application: observed checkout events provide incident context, hybrid retrieval points developers to relevant code, and the interface presents a reasoned RCA with citations. Its strongest measured result is complete top-three evidence coverage on the three seeded defects; first-result ranking and broader evaluation are the next quality priorities.</w:t>
      </w:r>
    </w:p>
    <w:sectPr w:rsidR="00FC693F" w:rsidRPr="0006063C" w:rsidSect="00034616">
      <w:footerReference w:type="default" r:id="rId9"/>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ptos" w:hAnsi="Aptos"/>
        <w:color w:val="596B78"/>
        <w:sz w:val="16"/>
      </w:rPr>
      <w:t xml:space="preserve">ROOTLENS  |  PROJECT 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3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RootLens Project Submission Report</dc:title>
  <dc:subject>Project summary, RAG framework, implementation, workflow, and build prompt</dc:subject>
  <dc:creator>RootLens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