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087E8B"/>
          <w:sz w:val="18"/>
        </w:rPr>
        <w:t>RAG QUALITY REVIEW  /  15 OCTOBER 2026</w:t>
      </w:r>
    </w:p>
    <w:p>
      <w:pPr>
        <w:pStyle w:val="Title"/>
      </w:pPr>
      <w:r>
        <w:t>RootLens Hybrid RAG</w:t>
        <w:br/>
        <w:t>Evaluation Report</w:t>
      </w:r>
    </w:p>
    <w:p>
      <w:pPr>
        <w:spacing w:after="240" w:line="259" w:lineRule="auto"/>
      </w:pPr>
      <w:r>
        <w:rPr>
          <w:rFonts w:ascii="Aptos" w:hAnsi="Aptos"/>
          <w:color w:val="5B6B78"/>
          <w:sz w:val="24"/>
        </w:rPr>
        <w:t>Retrieval quality across the three known shopping-platform defects</w:t>
      </w:r>
    </w:p>
    <w:p>
      <w:pPr>
        <w:spacing w:before="40" w:after="60"/>
      </w:pPr>
      <w:r>
        <w:rPr>
          <w:rFonts w:ascii="Aptos" w:hAnsi="Aptos"/>
          <w:b/>
          <w:color w:val="087E8B"/>
          <w:sz w:val="16"/>
        </w:rPr>
        <w:t>EXECUTIVE FINDING</w:t>
      </w:r>
    </w:p>
    <w:p>
      <w:pPr>
        <w:spacing w:after="200" w:line="259" w:lineRule="auto"/>
      </w:pPr>
      <w:r>
        <w:rPr>
          <w:rFonts w:ascii="Aptos" w:hAnsi="Aptos"/>
          <w:color w:val="263746"/>
          <w:sz w:val="20"/>
        </w:rPr>
        <w:t>Hybrid retrieval is operational and returns the expected source file and method within the top three results for all three gold cases. It places the correct source first for the coupon defect; the payment and inventory cases rank their expected method second. This is a useful small-sample validation of retrieval wiring and evidence coverage, with room to improve first-result precision.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3096"/>
            <w:shd w:fill="EAF3F5"/>
          </w:tcPr>
          <w:p>
            <w:pPr>
              <w:spacing w:after="40"/>
            </w:pPr>
            <w:r/>
            <w:r>
              <w:rPr>
                <w:b/>
                <w:color w:val="087E8B"/>
                <w:sz w:val="16"/>
              </w:rPr>
              <w:t>HIT@3</w:t>
              <w:br/>
            </w:r>
            <w:r>
              <w:rPr>
                <w:b/>
                <w:color w:val="16324F"/>
                <w:sz w:val="34"/>
              </w:rPr>
              <w:t>100%</w:t>
              <w:br/>
            </w:r>
            <w:r>
              <w:rPr>
                <w:color w:val="5B6B78"/>
                <w:sz w:val="16"/>
              </w:rPr>
              <w:t>3 of 3 expected sources retrieved</w:t>
            </w:r>
          </w:p>
        </w:tc>
        <w:tc>
          <w:tcPr>
            <w:tcW w:type="dxa" w:w="3096"/>
            <w:shd w:fill="EAF3F5"/>
          </w:tcPr>
          <w:p>
            <w:pPr>
              <w:spacing w:after="40"/>
            </w:pPr>
            <w:r/>
            <w:r>
              <w:rPr>
                <w:b/>
                <w:color w:val="087E8B"/>
                <w:sz w:val="16"/>
              </w:rPr>
              <w:t>HIT@1</w:t>
              <w:br/>
            </w:r>
            <w:r>
              <w:rPr>
                <w:b/>
                <w:color w:val="16324F"/>
                <w:sz w:val="34"/>
              </w:rPr>
              <w:t>33.3%</w:t>
              <w:br/>
            </w:r>
            <w:r>
              <w:rPr>
                <w:color w:val="5B6B78"/>
                <w:sz w:val="16"/>
              </w:rPr>
              <w:t>1 of 3 expected sources ranked first</w:t>
            </w:r>
          </w:p>
        </w:tc>
        <w:tc>
          <w:tcPr>
            <w:tcW w:type="dxa" w:w="3096"/>
            <w:shd w:fill="EAF3F5"/>
          </w:tcPr>
          <w:p>
            <w:pPr>
              <w:spacing w:after="40"/>
            </w:pPr>
            <w:r/>
            <w:r>
              <w:rPr>
                <w:b/>
                <w:color w:val="087E8B"/>
                <w:sz w:val="16"/>
              </w:rPr>
              <w:t>INDEX COVERAGE</w:t>
              <w:br/>
            </w:r>
            <w:r>
              <w:rPr>
                <w:b/>
                <w:color w:val="16324F"/>
                <w:sz w:val="34"/>
              </w:rPr>
              <w:t>104 / 104</w:t>
              <w:br/>
            </w:r>
            <w:r>
              <w:rPr>
                <w:color w:val="5B6B78"/>
                <w:sz w:val="16"/>
              </w:rPr>
              <w:t>All chunks have compatible vectors</w:t>
            </w:r>
          </w:p>
        </w:tc>
      </w:tr>
    </w:tbl>
    <w:p>
      <w:pPr>
        <w:pStyle w:val="Heading1"/>
      </w:pPr>
      <w:r>
        <w:t>Evaluation scope</w:t>
      </w:r>
    </w:p>
    <w:p>
      <w:pPr>
        <w:spacing w:after="120" w:line="259" w:lineRule="auto"/>
      </w:pPr>
      <w:r>
        <w:rPr>
          <w:rFonts w:ascii="Aptos" w:hAnsi="Aptos"/>
          <w:color w:val="263746"/>
          <w:sz w:val="19"/>
        </w:rPr>
        <w:t>The evaluation used the three known-defect cases in the repository gold set. Each case has one expected source file and method. For each case, the app's defect-analysis endpoint retrieved source evidence; the evaluation compared the expected file and symbol against the ranked evidence list. A case counts as a hit when that expected source appears within the selected cutoff.</w:t>
      </w:r>
    </w:p>
    <w:p>
      <w:pPr>
        <w:spacing w:after="160" w:line="259" w:lineRule="auto"/>
      </w:pPr>
      <w:r>
        <w:rPr>
          <w:rFonts w:ascii="Aptos" w:hAnsi="Aptos"/>
          <w:color w:val="263746"/>
          <w:sz w:val="19"/>
        </w:rPr>
        <w:t>This is a targeted retrieval check for the supplied defect scenarios. It is not a broad measure of RootLens performance across arbitrary incidents, repositories, or user phrasing.</w:t>
      </w:r>
    </w:p>
    <w:p>
      <w:pPr>
        <w:pStyle w:val="Heading1"/>
      </w:pPr>
      <w:r>
        <w:t>Hybrid configuration</w:t>
      </w:r>
    </w:p>
    <w:tbl>
      <w:tblPr>
        <w:tblStyle w:val="TableGrid"/>
        <w:tblW w:type="auto" w:w="0"/>
        <w:jc w:val="center"/>
        <w:tblLayout w:type="fixed"/>
        <w:tblLook w:firstColumn="1" w:firstRow="1" w:lastColumn="0" w:lastRow="0" w:noHBand="0" w:noVBand="1" w:val="04A0"/>
      </w:tblPr>
      <w:tblGrid>
        <w:gridCol w:w="5083"/>
        <w:gridCol w:w="5083"/>
      </w:tblGrid>
      <w:tr>
        <w:tc>
          <w:tcPr>
            <w:tcW w:type="dxa" w:w="5083"/>
            <w:shd w:fill="F4F7FA"/>
            <w:vAlign w:val="center"/>
          </w:tcPr>
          <w:p>
            <w:pPr>
              <w:spacing w:after="0"/>
            </w:pPr>
            <w:r/>
            <w:r>
              <w:rPr>
                <w:rFonts w:ascii="Aptos" w:hAnsi="Aptos"/>
                <w:b/>
                <w:color w:val="16324F"/>
                <w:sz w:val="17"/>
              </w:rPr>
              <w:t>Retrieval blend</w:t>
            </w:r>
          </w:p>
        </w:tc>
        <w:tc>
          <w:tcPr>
            <w:tcW w:type="dxa" w:w="5083"/>
            <w:vAlign w:val="center"/>
          </w:tcPr>
          <w:p>
            <w:pPr>
              <w:spacing w:after="0"/>
            </w:pPr>
            <w:r/>
            <w:r>
              <w:rPr>
                <w:rFonts w:ascii="Aptos" w:hAnsi="Aptos"/>
                <w:b w:val="0"/>
                <w:color w:val="263746"/>
                <w:sz w:val="17"/>
              </w:rPr>
              <w:t>45% normalized BM25 + 55% cosine similarity</w:t>
            </w:r>
          </w:p>
        </w:tc>
      </w:tr>
      <w:tr>
        <w:tc>
          <w:tcPr>
            <w:tcW w:type="dxa" w:w="5083"/>
            <w:shd w:fill="F4F7FA"/>
            <w:vAlign w:val="center"/>
          </w:tcPr>
          <w:p>
            <w:pPr>
              <w:spacing w:after="0"/>
            </w:pPr>
            <w:r/>
            <w:r>
              <w:rPr>
                <w:rFonts w:ascii="Aptos" w:hAnsi="Aptos"/>
                <w:b/>
                <w:color w:val="16324F"/>
                <w:sz w:val="17"/>
              </w:rPr>
              <w:t>Embedding model</w:t>
            </w:r>
          </w:p>
        </w:tc>
        <w:tc>
          <w:tcPr>
            <w:tcW w:type="dxa" w:w="5083"/>
            <w:vAlign w:val="center"/>
          </w:tcPr>
          <w:p>
            <w:pPr>
              <w:spacing w:after="0"/>
            </w:pPr>
            <w:r/>
            <w:r>
              <w:rPr>
                <w:rFonts w:ascii="Aptos" w:hAnsi="Aptos"/>
                <w:b w:val="0"/>
                <w:color w:val="263746"/>
                <w:sz w:val="17"/>
              </w:rPr>
              <w:t>qwen3-embedding:0.6b</w:t>
            </w:r>
          </w:p>
        </w:tc>
      </w:tr>
      <w:tr>
        <w:tc>
          <w:tcPr>
            <w:tcW w:type="dxa" w:w="5083"/>
            <w:shd w:fill="F4F7FA"/>
            <w:vAlign w:val="center"/>
          </w:tcPr>
          <w:p>
            <w:pPr>
              <w:spacing w:after="0"/>
            </w:pPr>
            <w:r/>
            <w:r>
              <w:rPr>
                <w:rFonts w:ascii="Aptos" w:hAnsi="Aptos"/>
                <w:b/>
                <w:color w:val="16324F"/>
                <w:sz w:val="17"/>
              </w:rPr>
              <w:t>Embedding size</w:t>
            </w:r>
          </w:p>
        </w:tc>
        <w:tc>
          <w:tcPr>
            <w:tcW w:type="dxa" w:w="5083"/>
            <w:vAlign w:val="center"/>
          </w:tcPr>
          <w:p>
            <w:pPr>
              <w:spacing w:after="0"/>
            </w:pPr>
            <w:r/>
            <w:r>
              <w:rPr>
                <w:rFonts w:ascii="Aptos" w:hAnsi="Aptos"/>
                <w:b w:val="0"/>
                <w:color w:val="263746"/>
                <w:sz w:val="17"/>
              </w:rPr>
              <w:t>1,024 dimensions</w:t>
            </w:r>
          </w:p>
        </w:tc>
      </w:tr>
      <w:tr>
        <w:tc>
          <w:tcPr>
            <w:tcW w:type="dxa" w:w="5083"/>
            <w:shd w:fill="F4F7FA"/>
            <w:vAlign w:val="center"/>
          </w:tcPr>
          <w:p>
            <w:pPr>
              <w:spacing w:after="0"/>
            </w:pPr>
            <w:r/>
            <w:r>
              <w:rPr>
                <w:rFonts w:ascii="Aptos" w:hAnsi="Aptos"/>
                <w:b/>
                <w:color w:val="16324F"/>
                <w:sz w:val="17"/>
              </w:rPr>
              <w:t>Index status</w:t>
            </w:r>
          </w:p>
        </w:tc>
        <w:tc>
          <w:tcPr>
            <w:tcW w:type="dxa" w:w="5083"/>
            <w:vAlign w:val="center"/>
          </w:tcPr>
          <w:p>
            <w:pPr>
              <w:spacing w:after="0"/>
            </w:pPr>
            <w:r/>
            <w:r>
              <w:rPr>
                <w:rFonts w:ascii="Aptos" w:hAnsi="Aptos"/>
                <w:b w:val="0"/>
                <w:color w:val="263746"/>
                <w:sz w:val="17"/>
              </w:rPr>
              <w:t>104/104 vectors; dimensions consistent; hybrid retrieval active</w:t>
            </w:r>
          </w:p>
        </w:tc>
      </w:tr>
      <w:tr>
        <w:tc>
          <w:tcPr>
            <w:tcW w:type="dxa" w:w="5083"/>
            <w:shd w:fill="F4F7FA"/>
            <w:vAlign w:val="center"/>
          </w:tcPr>
          <w:p>
            <w:pPr>
              <w:spacing w:after="0"/>
            </w:pPr>
            <w:r/>
            <w:r>
              <w:rPr>
                <w:rFonts w:ascii="Aptos" w:hAnsi="Aptos"/>
                <w:b/>
                <w:color w:val="16324F"/>
                <w:sz w:val="17"/>
              </w:rPr>
              <w:t>Answer mode</w:t>
            </w:r>
          </w:p>
        </w:tc>
        <w:tc>
          <w:tcPr>
            <w:tcW w:type="dxa" w:w="5083"/>
            <w:vAlign w:val="center"/>
          </w:tcPr>
          <w:p>
            <w:pPr>
              <w:spacing w:after="0"/>
            </w:pPr>
            <w:r/>
            <w:r>
              <w:rPr>
                <w:rFonts w:ascii="Aptos" w:hAnsi="Aptos"/>
                <w:b w:val="0"/>
                <w:color w:val="263746"/>
                <w:sz w:val="17"/>
              </w:rPr>
              <w:t>Built-in deterministic demo explanation</w:t>
            </w:r>
          </w:p>
        </w:tc>
      </w:tr>
    </w:tbl>
    <w:p>
      <w:r>
        <w:br w:type="page"/>
      </w:r>
    </w:p>
    <w:p>
      <w:pPr>
        <w:pStyle w:val="Heading1"/>
      </w:pPr>
      <w:r>
        <w:t>Case-by-case retrieval findings</w:t>
      </w:r>
    </w:p>
    <w:p>
      <w:pPr>
        <w:spacing w:after="160" w:line="259" w:lineRule="auto"/>
      </w:pPr>
      <w:r>
        <w:rPr>
          <w:rFonts w:ascii="Aptos" w:hAnsi="Aptos"/>
          <w:color w:val="263746"/>
          <w:sz w:val="19"/>
        </w:rPr>
        <w:t>Fused scores combine each query's normalized lexical score with cosine similarity. They help order candidates for that query; they are not probabilities and should not be interpreted as confidence percentages.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c>
          <w:tcPr>
            <w:tcW w:type="dxa" w:w="1613"/>
            <w:shd w:fill="16324F"/>
            <w:vAlign w:val="center"/>
          </w:tcPr>
          <w:p>
            <w:pPr>
              <w:spacing w:after="0"/>
            </w:pPr>
            <w:r/>
            <w:r>
              <w:rPr>
                <w:rFonts w:ascii="Aptos" w:hAnsi="Aptos"/>
                <w:b/>
                <w:color w:val="FFFFFF"/>
                <w:sz w:val="16"/>
              </w:rPr>
              <w:t>Defect</w:t>
            </w:r>
          </w:p>
        </w:tc>
        <w:tc>
          <w:tcPr>
            <w:tcW w:type="dxa" w:w="2232"/>
            <w:shd w:fill="16324F"/>
            <w:vAlign w:val="center"/>
          </w:tcPr>
          <w:p>
            <w:pPr>
              <w:spacing w:after="0"/>
            </w:pPr>
            <w:r/>
            <w:r>
              <w:rPr>
                <w:rFonts w:ascii="Aptos" w:hAnsi="Aptos"/>
                <w:b/>
                <w:color w:val="FFFFFF"/>
                <w:sz w:val="16"/>
              </w:rPr>
              <w:t>Expected method</w:t>
            </w:r>
          </w:p>
        </w:tc>
        <w:tc>
          <w:tcPr>
            <w:tcW w:type="dxa" w:w="792"/>
            <w:shd w:fill="16324F"/>
            <w:vAlign w:val="center"/>
          </w:tcPr>
          <w:p>
            <w:pPr>
              <w:spacing w:after="0"/>
            </w:pPr>
            <w:r/>
            <w:r>
              <w:rPr>
                <w:rFonts w:ascii="Aptos" w:hAnsi="Aptos"/>
                <w:b/>
                <w:color w:val="FFFFFF"/>
                <w:sz w:val="16"/>
              </w:rPr>
              <w:t>Rank</w:t>
            </w:r>
          </w:p>
        </w:tc>
        <w:tc>
          <w:tcPr>
            <w:tcW w:type="dxa" w:w="979"/>
            <w:shd w:fill="16324F"/>
            <w:vAlign w:val="center"/>
          </w:tcPr>
          <w:p>
            <w:pPr>
              <w:spacing w:after="0"/>
            </w:pPr>
            <w:r/>
            <w:r>
              <w:rPr>
                <w:rFonts w:ascii="Aptos" w:hAnsi="Aptos"/>
                <w:b/>
                <w:color w:val="FFFFFF"/>
                <w:sz w:val="16"/>
              </w:rPr>
              <w:t>BM25</w:t>
            </w:r>
          </w:p>
        </w:tc>
        <w:tc>
          <w:tcPr>
            <w:tcW w:type="dxa" w:w="979"/>
            <w:shd w:fill="16324F"/>
            <w:vAlign w:val="center"/>
          </w:tcPr>
          <w:p>
            <w:pPr>
              <w:spacing w:after="0"/>
            </w:pPr>
            <w:r/>
            <w:r>
              <w:rPr>
                <w:rFonts w:ascii="Aptos" w:hAnsi="Aptos"/>
                <w:b/>
                <w:color w:val="FFFFFF"/>
                <w:sz w:val="16"/>
              </w:rPr>
              <w:t>Cosine</w:t>
            </w:r>
          </w:p>
        </w:tc>
        <w:tc>
          <w:tcPr>
            <w:tcW w:type="dxa" w:w="1080"/>
            <w:shd w:fill="16324F"/>
            <w:vAlign w:val="center"/>
          </w:tcPr>
          <w:p>
            <w:pPr>
              <w:spacing w:after="0"/>
            </w:pPr>
            <w:r/>
            <w:r>
              <w:rPr>
                <w:rFonts w:ascii="Aptos" w:hAnsi="Aptos"/>
                <w:b/>
                <w:color w:val="FFFFFF"/>
                <w:sz w:val="16"/>
              </w:rPr>
              <w:t>Fused</w:t>
            </w:r>
          </w:p>
        </w:tc>
      </w:tr>
      <w:tr>
        <w:tc>
          <w:tcPr>
            <w:tcW w:type="dxa" w:w="1694"/>
            <w:shd w:fill="F4F7FA"/>
            <w:vAlign w:val="center"/>
          </w:tcPr>
          <w:p>
            <w:pPr>
              <w:spacing w:after="0"/>
            </w:pPr>
            <w:r/>
            <w:r>
              <w:rPr>
                <w:rFonts w:ascii="Aptos" w:hAnsi="Aptos"/>
                <w:b w:val="0"/>
                <w:color w:val="263746"/>
                <w:sz w:val="16"/>
              </w:rPr>
              <w:t>Coupon</w:t>
            </w:r>
          </w:p>
        </w:tc>
        <w:tc>
          <w:tcPr>
            <w:tcW w:type="dxa" w:w="1694"/>
            <w:shd w:fill="F4F7FA"/>
            <w:vAlign w:val="center"/>
          </w:tcPr>
          <w:p>
            <w:pPr>
              <w:spacing w:after="0"/>
            </w:pPr>
            <w:r/>
            <w:r>
              <w:rPr>
                <w:rFonts w:ascii="Aptos" w:hAnsi="Aptos"/>
                <w:b w:val="0"/>
                <w:color w:val="263746"/>
                <w:sz w:val="16"/>
              </w:rPr>
              <w:t>PricingService.discount</w:t>
            </w:r>
          </w:p>
        </w:tc>
        <w:tc>
          <w:tcPr>
            <w:tcW w:type="dxa" w:w="1694"/>
            <w:shd w:fill="F4F7FA"/>
            <w:vAlign w:val="center"/>
          </w:tcPr>
          <w:p>
            <w:pPr>
              <w:spacing w:after="0"/>
            </w:pPr>
            <w:r/>
            <w:r>
              <w:rPr>
                <w:rFonts w:ascii="Aptos" w:hAnsi="Aptos"/>
                <w:b/>
                <w:color w:val="247A57"/>
                <w:sz w:val="16"/>
              </w:rPr>
              <w:t>1</w:t>
            </w:r>
          </w:p>
        </w:tc>
        <w:tc>
          <w:tcPr>
            <w:tcW w:type="dxa" w:w="1694"/>
            <w:shd w:fill="F4F7FA"/>
            <w:vAlign w:val="center"/>
          </w:tcPr>
          <w:p>
            <w:pPr>
              <w:spacing w:after="0"/>
            </w:pPr>
            <w:r/>
            <w:r>
              <w:rPr>
                <w:rFonts w:ascii="Aptos" w:hAnsi="Aptos"/>
                <w:b w:val="0"/>
                <w:color w:val="263746"/>
                <w:sz w:val="16"/>
              </w:rPr>
              <w:t>1.000</w:t>
            </w:r>
          </w:p>
        </w:tc>
        <w:tc>
          <w:tcPr>
            <w:tcW w:type="dxa" w:w="1694"/>
            <w:shd w:fill="F4F7FA"/>
            <w:vAlign w:val="center"/>
          </w:tcPr>
          <w:p>
            <w:pPr>
              <w:spacing w:after="0"/>
            </w:pPr>
            <w:r/>
            <w:r>
              <w:rPr>
                <w:rFonts w:ascii="Aptos" w:hAnsi="Aptos"/>
                <w:b w:val="0"/>
                <w:color w:val="263746"/>
                <w:sz w:val="16"/>
              </w:rPr>
              <w:t>0.710</w:t>
            </w:r>
          </w:p>
        </w:tc>
        <w:tc>
          <w:tcPr>
            <w:tcW w:type="dxa" w:w="1694"/>
            <w:shd w:fill="F4F7FA"/>
            <w:vAlign w:val="center"/>
          </w:tcPr>
          <w:p>
            <w:pPr>
              <w:spacing w:after="0"/>
            </w:pPr>
            <w:r/>
            <w:r>
              <w:rPr>
                <w:rFonts w:ascii="Aptos" w:hAnsi="Aptos"/>
                <w:b w:val="0"/>
                <w:color w:val="263746"/>
                <w:sz w:val="16"/>
              </w:rPr>
              <w:t>0.840</w:t>
            </w:r>
          </w:p>
        </w:tc>
      </w:tr>
      <w:tr>
        <w:tc>
          <w:tcPr>
            <w:tcW w:type="dxa" w:w="1694"/>
            <w:vAlign w:val="center"/>
          </w:tcPr>
          <w:p>
            <w:pPr>
              <w:spacing w:after="0"/>
            </w:pPr>
            <w:r/>
            <w:r>
              <w:rPr>
                <w:rFonts w:ascii="Aptos" w:hAnsi="Aptos"/>
                <w:b w:val="0"/>
                <w:color w:val="263746"/>
                <w:sz w:val="16"/>
              </w:rPr>
              <w:t>Payment</w:t>
            </w:r>
          </w:p>
        </w:tc>
        <w:tc>
          <w:tcPr>
            <w:tcW w:type="dxa" w:w="1694"/>
            <w:vAlign w:val="center"/>
          </w:tcPr>
          <w:p>
            <w:pPr>
              <w:spacing w:after="0"/>
            </w:pPr>
            <w:r/>
            <w:r>
              <w:rPr>
                <w:rFonts w:ascii="Aptos" w:hAnsi="Aptos"/>
                <w:b w:val="0"/>
                <w:color w:val="263746"/>
                <w:sz w:val="16"/>
              </w:rPr>
              <w:t>ShopService.checkout</w:t>
            </w:r>
          </w:p>
        </w:tc>
        <w:tc>
          <w:tcPr>
            <w:tcW w:type="dxa" w:w="1694"/>
            <w:vAlign w:val="center"/>
          </w:tcPr>
          <w:p>
            <w:pPr>
              <w:spacing w:after="0"/>
            </w:pPr>
            <w:r/>
            <w:r>
              <w:rPr>
                <w:rFonts w:ascii="Aptos" w:hAnsi="Aptos"/>
                <w:b/>
                <w:color w:val="263746"/>
                <w:sz w:val="16"/>
              </w:rPr>
              <w:t>2</w:t>
            </w:r>
          </w:p>
        </w:tc>
        <w:tc>
          <w:tcPr>
            <w:tcW w:type="dxa" w:w="1694"/>
            <w:vAlign w:val="center"/>
          </w:tcPr>
          <w:p>
            <w:pPr>
              <w:spacing w:after="0"/>
            </w:pPr>
            <w:r/>
            <w:r>
              <w:rPr>
                <w:rFonts w:ascii="Aptos" w:hAnsi="Aptos"/>
                <w:b w:val="0"/>
                <w:color w:val="263746"/>
                <w:sz w:val="16"/>
              </w:rPr>
              <w:t>0.933</w:t>
            </w:r>
          </w:p>
        </w:tc>
        <w:tc>
          <w:tcPr>
            <w:tcW w:type="dxa" w:w="1694"/>
            <w:vAlign w:val="center"/>
          </w:tcPr>
          <w:p>
            <w:pPr>
              <w:spacing w:after="0"/>
            </w:pPr>
            <w:r/>
            <w:r>
              <w:rPr>
                <w:rFonts w:ascii="Aptos" w:hAnsi="Aptos"/>
                <w:b w:val="0"/>
                <w:color w:val="263746"/>
                <w:sz w:val="16"/>
              </w:rPr>
              <w:t>0.522</w:t>
            </w:r>
          </w:p>
        </w:tc>
        <w:tc>
          <w:tcPr>
            <w:tcW w:type="dxa" w:w="1694"/>
            <w:vAlign w:val="center"/>
          </w:tcPr>
          <w:p>
            <w:pPr>
              <w:spacing w:after="0"/>
            </w:pPr>
            <w:r/>
            <w:r>
              <w:rPr>
                <w:rFonts w:ascii="Aptos" w:hAnsi="Aptos"/>
                <w:b w:val="0"/>
                <w:color w:val="263746"/>
                <w:sz w:val="16"/>
              </w:rPr>
              <w:t>0.707</w:t>
            </w:r>
          </w:p>
        </w:tc>
      </w:tr>
      <w:tr>
        <w:tc>
          <w:tcPr>
            <w:tcW w:type="dxa" w:w="1694"/>
            <w:shd w:fill="F4F7FA"/>
            <w:vAlign w:val="center"/>
          </w:tcPr>
          <w:p>
            <w:pPr>
              <w:spacing w:after="0"/>
            </w:pPr>
            <w:r/>
            <w:r>
              <w:rPr>
                <w:rFonts w:ascii="Aptos" w:hAnsi="Aptos"/>
                <w:b w:val="0"/>
                <w:color w:val="263746"/>
                <w:sz w:val="16"/>
              </w:rPr>
              <w:t>Inventory</w:t>
            </w:r>
          </w:p>
        </w:tc>
        <w:tc>
          <w:tcPr>
            <w:tcW w:type="dxa" w:w="1694"/>
            <w:shd w:fill="F4F7FA"/>
            <w:vAlign w:val="center"/>
          </w:tcPr>
          <w:p>
            <w:pPr>
              <w:spacing w:after="0"/>
            </w:pPr>
            <w:r/>
            <w:r>
              <w:rPr>
                <w:rFonts w:ascii="Aptos" w:hAnsi="Aptos"/>
                <w:b w:val="0"/>
                <w:color w:val="263746"/>
                <w:sz w:val="16"/>
              </w:rPr>
              <w:t>InventoryService.reserve</w:t>
            </w:r>
          </w:p>
        </w:tc>
        <w:tc>
          <w:tcPr>
            <w:tcW w:type="dxa" w:w="1694"/>
            <w:shd w:fill="F4F7FA"/>
            <w:vAlign w:val="center"/>
          </w:tcPr>
          <w:p>
            <w:pPr>
              <w:spacing w:after="0"/>
            </w:pPr>
            <w:r/>
            <w:r>
              <w:rPr>
                <w:rFonts w:ascii="Aptos" w:hAnsi="Aptos"/>
                <w:b/>
                <w:color w:val="263746"/>
                <w:sz w:val="16"/>
              </w:rPr>
              <w:t>2</w:t>
            </w:r>
          </w:p>
        </w:tc>
        <w:tc>
          <w:tcPr>
            <w:tcW w:type="dxa" w:w="1694"/>
            <w:shd w:fill="F4F7FA"/>
            <w:vAlign w:val="center"/>
          </w:tcPr>
          <w:p>
            <w:pPr>
              <w:spacing w:after="0"/>
            </w:pPr>
            <w:r/>
            <w:r>
              <w:rPr>
                <w:rFonts w:ascii="Aptos" w:hAnsi="Aptos"/>
                <w:b w:val="0"/>
                <w:color w:val="263746"/>
                <w:sz w:val="16"/>
              </w:rPr>
              <w:t>0.895</w:t>
            </w:r>
          </w:p>
        </w:tc>
        <w:tc>
          <w:tcPr>
            <w:tcW w:type="dxa" w:w="1694"/>
            <w:shd w:fill="F4F7FA"/>
            <w:vAlign w:val="center"/>
          </w:tcPr>
          <w:p>
            <w:pPr>
              <w:spacing w:after="0"/>
            </w:pPr>
            <w:r/>
            <w:r>
              <w:rPr>
                <w:rFonts w:ascii="Aptos" w:hAnsi="Aptos"/>
                <w:b w:val="0"/>
                <w:color w:val="263746"/>
                <w:sz w:val="16"/>
              </w:rPr>
              <w:t>0.497</w:t>
            </w:r>
          </w:p>
        </w:tc>
        <w:tc>
          <w:tcPr>
            <w:tcW w:type="dxa" w:w="1694"/>
            <w:shd w:fill="F4F7FA"/>
            <w:vAlign w:val="center"/>
          </w:tcPr>
          <w:p>
            <w:pPr>
              <w:spacing w:after="0"/>
            </w:pPr>
            <w:r/>
            <w:r>
              <w:rPr>
                <w:rFonts w:ascii="Aptos" w:hAnsi="Aptos"/>
                <w:b w:val="0"/>
                <w:color w:val="263746"/>
                <w:sz w:val="16"/>
              </w:rPr>
              <w:t>0.676</w:t>
            </w:r>
          </w:p>
        </w:tc>
      </w:tr>
    </w:tbl>
    <w:p>
      <w:pPr>
        <w:pStyle w:val="Heading2"/>
      </w:pPr>
      <w:r>
        <w:t>Coupon defect</w:t>
      </w:r>
    </w:p>
    <w:p>
      <w:pPr>
        <w:spacing w:after="120" w:line="259" w:lineRule="auto"/>
      </w:pPr>
      <w:r>
        <w:rPr>
          <w:rFonts w:ascii="Aptos" w:hAnsi="Aptos"/>
          <w:color w:val="263746"/>
          <w:sz w:val="19"/>
        </w:rPr>
        <w:t>Expected evidence: PricingService.discount. It ranked first with BM25 1.000, cosine 0.710, and fused score 0.840. ShopService.checkout ranked second at fused 0.546. Retrieval therefore surfaced the direct pricing rule ahead of the checkout code that consumes the discount.</w:t>
      </w:r>
    </w:p>
    <w:p>
      <w:pPr>
        <w:pStyle w:val="Heading2"/>
      </w:pPr>
      <w:r>
        <w:t>Duplicate-payment defect</w:t>
      </w:r>
    </w:p>
    <w:p>
      <w:pPr>
        <w:spacing w:after="120" w:line="259" w:lineRule="auto"/>
      </w:pPr>
      <w:r>
        <w:rPr>
          <w:rFonts w:ascii="Aptos" w:hAnsi="Aptos"/>
          <w:color w:val="263746"/>
          <w:sz w:val="19"/>
        </w:rPr>
        <w:t>Expected evidence: ShopService.checkout. It ranked second with BM25 0.933, cosine 0.522, and fused score 0.707. PaymentService.capture ranked first at fused 0.780. The first result is a closely related dependency in the payment path, while the expected checkout method contains the retry orchestration described by the gold case.</w:t>
      </w:r>
    </w:p>
    <w:p>
      <w:pPr>
        <w:pStyle w:val="Heading2"/>
      </w:pPr>
      <w:r>
        <w:t>Inventory defect</w:t>
      </w:r>
    </w:p>
    <w:p>
      <w:pPr>
        <w:spacing w:after="120" w:line="259" w:lineRule="auto"/>
      </w:pPr>
      <w:r>
        <w:rPr>
          <w:rFonts w:ascii="Aptos" w:hAnsi="Aptos"/>
          <w:color w:val="263746"/>
          <w:sz w:val="19"/>
        </w:rPr>
        <w:t>Expected evidence: InventoryService.reserve. It ranked second with BM25 0.895, cosine 0.497, and fused score 0.676. ShopService.checkout ranked first at fused 0.764. Checkout is directly connected to reservation, but the gold root cause is in the inventory method, so the ranking should favor reserve for this query.</w:t>
      </w:r>
    </w:p>
    <w:p>
      <w:pPr>
        <w:pStyle w:val="Heading2"/>
      </w:pPr>
      <w:r>
        <w:t>Ranked evidence summary</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72"/>
            <w:shd w:fill="1F5A7A"/>
            <w:vAlign w:val="center"/>
          </w:tcPr>
          <w:p>
            <w:pPr>
              <w:spacing w:after="0"/>
            </w:pPr>
            <w:r/>
            <w:r>
              <w:rPr>
                <w:rFonts w:ascii="Aptos" w:hAnsi="Aptos"/>
                <w:b/>
                <w:color w:val="FFFFFF"/>
                <w:sz w:val="16"/>
              </w:rPr>
              <w:t>Case</w:t>
            </w:r>
          </w:p>
        </w:tc>
        <w:tc>
          <w:tcPr>
            <w:tcW w:type="dxa" w:w="3744"/>
            <w:shd w:fill="1F5A7A"/>
            <w:vAlign w:val="center"/>
          </w:tcPr>
          <w:p>
            <w:pPr>
              <w:spacing w:after="0"/>
            </w:pPr>
            <w:r/>
            <w:r>
              <w:rPr>
                <w:rFonts w:ascii="Aptos" w:hAnsi="Aptos"/>
                <w:b/>
                <w:color w:val="FFFFFF"/>
                <w:sz w:val="16"/>
              </w:rPr>
              <w:t>Rank 1</w:t>
            </w:r>
          </w:p>
        </w:tc>
        <w:tc>
          <w:tcPr>
            <w:tcW w:type="dxa" w:w="3312"/>
            <w:shd w:fill="1F5A7A"/>
            <w:vAlign w:val="center"/>
          </w:tcPr>
          <w:p>
            <w:pPr>
              <w:spacing w:after="0"/>
            </w:pPr>
            <w:r/>
            <w:r>
              <w:rPr>
                <w:rFonts w:ascii="Aptos" w:hAnsi="Aptos"/>
                <w:b/>
                <w:color w:val="FFFFFF"/>
                <w:sz w:val="16"/>
              </w:rPr>
              <w:t>Expected source</w:t>
            </w:r>
          </w:p>
        </w:tc>
      </w:tr>
      <w:tr>
        <w:tc>
          <w:tcPr>
            <w:tcW w:type="dxa" w:w="3389"/>
            <w:vAlign w:val="center"/>
          </w:tcPr>
          <w:p>
            <w:pPr>
              <w:spacing w:after="0"/>
            </w:pPr>
            <w:r/>
            <w:r>
              <w:rPr>
                <w:rFonts w:ascii="Aptos" w:hAnsi="Aptos"/>
                <w:b w:val="0"/>
                <w:color w:val="263746"/>
                <w:sz w:val="15"/>
              </w:rPr>
              <w:t>Coupon</w:t>
            </w:r>
          </w:p>
        </w:tc>
        <w:tc>
          <w:tcPr>
            <w:tcW w:type="dxa" w:w="3389"/>
            <w:vAlign w:val="center"/>
          </w:tcPr>
          <w:p>
            <w:pPr>
              <w:spacing w:after="0"/>
            </w:pPr>
            <w:r/>
            <w:r>
              <w:rPr>
                <w:rFonts w:ascii="Aptos" w:hAnsi="Aptos"/>
                <w:b w:val="0"/>
                <w:color w:val="263746"/>
                <w:sz w:val="15"/>
              </w:rPr>
              <w:t>PricingService.discount · 0.840</w:t>
            </w:r>
          </w:p>
        </w:tc>
        <w:tc>
          <w:tcPr>
            <w:tcW w:type="dxa" w:w="3389"/>
            <w:vAlign w:val="center"/>
          </w:tcPr>
          <w:p>
            <w:pPr>
              <w:spacing w:after="0"/>
            </w:pPr>
            <w:r/>
            <w:r>
              <w:rPr>
                <w:rFonts w:ascii="Aptos" w:hAnsi="Aptos"/>
                <w:b w:val="0"/>
                <w:color w:val="263746"/>
                <w:sz w:val="15"/>
              </w:rPr>
              <w:t>PricingService.discount · rank 1</w:t>
            </w:r>
          </w:p>
        </w:tc>
      </w:tr>
      <w:tr>
        <w:tc>
          <w:tcPr>
            <w:tcW w:type="dxa" w:w="3389"/>
            <w:vAlign w:val="center"/>
          </w:tcPr>
          <w:p>
            <w:pPr>
              <w:spacing w:after="0"/>
            </w:pPr>
            <w:r/>
            <w:r>
              <w:rPr>
                <w:rFonts w:ascii="Aptos" w:hAnsi="Aptos"/>
                <w:b w:val="0"/>
                <w:color w:val="263746"/>
                <w:sz w:val="15"/>
              </w:rPr>
              <w:t>Payment</w:t>
            </w:r>
          </w:p>
        </w:tc>
        <w:tc>
          <w:tcPr>
            <w:tcW w:type="dxa" w:w="3389"/>
            <w:vAlign w:val="center"/>
          </w:tcPr>
          <w:p>
            <w:pPr>
              <w:spacing w:after="0"/>
            </w:pPr>
            <w:r/>
            <w:r>
              <w:rPr>
                <w:rFonts w:ascii="Aptos" w:hAnsi="Aptos"/>
                <w:b w:val="0"/>
                <w:color w:val="263746"/>
                <w:sz w:val="15"/>
              </w:rPr>
              <w:t>PaymentService.capture · 0.780</w:t>
            </w:r>
          </w:p>
        </w:tc>
        <w:tc>
          <w:tcPr>
            <w:tcW w:type="dxa" w:w="3389"/>
            <w:vAlign w:val="center"/>
          </w:tcPr>
          <w:p>
            <w:pPr>
              <w:spacing w:after="0"/>
            </w:pPr>
            <w:r/>
            <w:r>
              <w:rPr>
                <w:rFonts w:ascii="Aptos" w:hAnsi="Aptos"/>
                <w:b w:val="0"/>
                <w:color w:val="263746"/>
                <w:sz w:val="15"/>
              </w:rPr>
              <w:t>ShopService.checkout · rank 2</w:t>
            </w:r>
          </w:p>
        </w:tc>
      </w:tr>
      <w:tr>
        <w:tc>
          <w:tcPr>
            <w:tcW w:type="dxa" w:w="3389"/>
            <w:vAlign w:val="center"/>
          </w:tcPr>
          <w:p>
            <w:pPr>
              <w:spacing w:after="0"/>
            </w:pPr>
            <w:r/>
            <w:r>
              <w:rPr>
                <w:rFonts w:ascii="Aptos" w:hAnsi="Aptos"/>
                <w:b w:val="0"/>
                <w:color w:val="263746"/>
                <w:sz w:val="15"/>
              </w:rPr>
              <w:t>Inventory</w:t>
            </w:r>
          </w:p>
        </w:tc>
        <w:tc>
          <w:tcPr>
            <w:tcW w:type="dxa" w:w="3389"/>
            <w:vAlign w:val="center"/>
          </w:tcPr>
          <w:p>
            <w:pPr>
              <w:spacing w:after="0"/>
            </w:pPr>
            <w:r/>
            <w:r>
              <w:rPr>
                <w:rFonts w:ascii="Aptos" w:hAnsi="Aptos"/>
                <w:b w:val="0"/>
                <w:color w:val="263746"/>
                <w:sz w:val="15"/>
              </w:rPr>
              <w:t>ShopService.checkout · 0.764</w:t>
            </w:r>
          </w:p>
        </w:tc>
        <w:tc>
          <w:tcPr>
            <w:tcW w:type="dxa" w:w="3389"/>
            <w:vAlign w:val="center"/>
          </w:tcPr>
          <w:p>
            <w:pPr>
              <w:spacing w:after="0"/>
            </w:pPr>
            <w:r/>
            <w:r>
              <w:rPr>
                <w:rFonts w:ascii="Aptos" w:hAnsi="Aptos"/>
                <w:b w:val="0"/>
                <w:color w:val="263746"/>
                <w:sz w:val="15"/>
              </w:rPr>
              <w:t>InventoryService.reserve · rank 2</w:t>
            </w:r>
          </w:p>
        </w:tc>
      </w:tr>
    </w:tbl>
    <w:p>
      <w:r>
        <w:br w:type="page"/>
      </w:r>
    </w:p>
    <w:p>
      <w:pPr>
        <w:pStyle w:val="Heading1"/>
      </w:pPr>
      <w:r>
        <w:t>Aggregate metrics and interpretation</w:t>
      </w:r>
    </w:p>
    <w:tbl>
      <w:tblPr>
        <w:tblStyle w:val="TableGrid"/>
        <w:tblW w:type="auto" w:w="0"/>
        <w:jc w:val="center"/>
        <w:tblLayout w:type="fixed"/>
        <w:tblLook w:firstColumn="1" w:firstRow="1" w:lastColumn="0" w:lastRow="0" w:noHBand="0" w:noVBand="1" w:val="04A0"/>
      </w:tblPr>
      <w:tblGrid>
        <w:gridCol w:w="3389"/>
        <w:gridCol w:w="3389"/>
        <w:gridCol w:w="3389"/>
      </w:tblGrid>
      <w:tr>
        <w:tc>
          <w:tcPr>
            <w:tcW w:type="dxa" w:w="1800"/>
            <w:shd w:fill="16324F"/>
            <w:vAlign w:val="center"/>
          </w:tcPr>
          <w:p>
            <w:pPr>
              <w:spacing w:after="0"/>
            </w:pPr>
            <w:r/>
            <w:r>
              <w:rPr>
                <w:rFonts w:ascii="Aptos" w:hAnsi="Aptos"/>
                <w:b/>
                <w:color w:val="FFFFFF"/>
                <w:sz w:val="17"/>
              </w:rPr>
              <w:t>Metric</w:t>
            </w:r>
          </w:p>
        </w:tc>
        <w:tc>
          <w:tcPr>
            <w:tcW w:type="dxa" w:w="1728"/>
            <w:shd w:fill="16324F"/>
            <w:vAlign w:val="center"/>
          </w:tcPr>
          <w:p>
            <w:pPr>
              <w:spacing w:after="0"/>
            </w:pPr>
            <w:r/>
            <w:r>
              <w:rPr>
                <w:rFonts w:ascii="Aptos" w:hAnsi="Aptos"/>
                <w:b/>
                <w:color w:val="FFFFFF"/>
                <w:sz w:val="17"/>
              </w:rPr>
              <w:t>Result</w:t>
            </w:r>
          </w:p>
        </w:tc>
        <w:tc>
          <w:tcPr>
            <w:tcW w:type="dxa" w:w="5400"/>
            <w:shd w:fill="16324F"/>
            <w:vAlign w:val="center"/>
          </w:tcPr>
          <w:p>
            <w:pPr>
              <w:spacing w:after="0"/>
            </w:pPr>
            <w:r/>
            <w:r>
              <w:rPr>
                <w:rFonts w:ascii="Aptos" w:hAnsi="Aptos"/>
                <w:b/>
                <w:color w:val="FFFFFF"/>
                <w:sz w:val="17"/>
              </w:rPr>
              <w:t>Interpretation</w:t>
            </w:r>
          </w:p>
        </w:tc>
      </w:tr>
      <w:tr>
        <w:tc>
          <w:tcPr>
            <w:tcW w:type="dxa" w:w="3389"/>
            <w:vAlign w:val="center"/>
          </w:tcPr>
          <w:p>
            <w:pPr>
              <w:spacing w:after="0"/>
            </w:pPr>
            <w:r/>
            <w:r>
              <w:rPr>
                <w:rFonts w:ascii="Aptos" w:hAnsi="Aptos"/>
                <w:b w:val="0"/>
                <w:color w:val="263746"/>
                <w:sz w:val="17"/>
              </w:rPr>
              <w:t>Hit@1</w:t>
            </w:r>
          </w:p>
        </w:tc>
        <w:tc>
          <w:tcPr>
            <w:tcW w:type="dxa" w:w="3389"/>
            <w:vAlign w:val="center"/>
          </w:tcPr>
          <w:p>
            <w:pPr>
              <w:spacing w:after="0"/>
            </w:pPr>
            <w:r/>
            <w:r>
              <w:rPr>
                <w:rFonts w:ascii="Aptos" w:hAnsi="Aptos"/>
                <w:b w:val="0"/>
                <w:color w:val="263746"/>
                <w:sz w:val="17"/>
              </w:rPr>
              <w:t>33.3%</w:t>
            </w:r>
          </w:p>
        </w:tc>
        <w:tc>
          <w:tcPr>
            <w:tcW w:type="dxa" w:w="3389"/>
            <w:vAlign w:val="center"/>
          </w:tcPr>
          <w:p>
            <w:pPr>
              <w:spacing w:after="0"/>
            </w:pPr>
            <w:r/>
            <w:r>
              <w:rPr>
                <w:rFonts w:ascii="Aptos" w:hAnsi="Aptos"/>
                <w:b w:val="0"/>
                <w:color w:val="263746"/>
                <w:sz w:val="17"/>
              </w:rPr>
              <w:t>The expected method is ranked first in 1 of 3 cases.</w:t>
            </w:r>
          </w:p>
        </w:tc>
      </w:tr>
      <w:tr>
        <w:tc>
          <w:tcPr>
            <w:tcW w:type="dxa" w:w="3389"/>
            <w:vAlign w:val="center"/>
          </w:tcPr>
          <w:p>
            <w:pPr>
              <w:spacing w:after="0"/>
            </w:pPr>
            <w:r/>
            <w:r>
              <w:rPr>
                <w:rFonts w:ascii="Aptos" w:hAnsi="Aptos"/>
                <w:b w:val="0"/>
                <w:color w:val="263746"/>
                <w:sz w:val="17"/>
              </w:rPr>
              <w:t>Hit@3</w:t>
            </w:r>
          </w:p>
        </w:tc>
        <w:tc>
          <w:tcPr>
            <w:tcW w:type="dxa" w:w="3389"/>
            <w:vAlign w:val="center"/>
          </w:tcPr>
          <w:p>
            <w:pPr>
              <w:spacing w:after="0"/>
            </w:pPr>
            <w:r/>
            <w:r>
              <w:rPr>
                <w:rFonts w:ascii="Aptos" w:hAnsi="Aptos"/>
                <w:b w:val="0"/>
                <w:color w:val="263746"/>
                <w:sz w:val="17"/>
              </w:rPr>
              <w:t>100%</w:t>
            </w:r>
          </w:p>
        </w:tc>
        <w:tc>
          <w:tcPr>
            <w:tcW w:type="dxa" w:w="3389"/>
            <w:vAlign w:val="center"/>
          </w:tcPr>
          <w:p>
            <w:pPr>
              <w:spacing w:after="0"/>
            </w:pPr>
            <w:r/>
            <w:r>
              <w:rPr>
                <w:rFonts w:ascii="Aptos" w:hAnsi="Aptos"/>
                <w:b w:val="0"/>
                <w:color w:val="263746"/>
                <w:sz w:val="17"/>
              </w:rPr>
              <w:t>The expected method appears in the first three results in all cases.</w:t>
            </w:r>
          </w:p>
        </w:tc>
      </w:tr>
      <w:tr>
        <w:tc>
          <w:tcPr>
            <w:tcW w:type="dxa" w:w="3389"/>
            <w:vAlign w:val="center"/>
          </w:tcPr>
          <w:p>
            <w:pPr>
              <w:spacing w:after="0"/>
            </w:pPr>
            <w:r/>
            <w:r>
              <w:rPr>
                <w:rFonts w:ascii="Aptos" w:hAnsi="Aptos"/>
                <w:b w:val="0"/>
                <w:color w:val="263746"/>
                <w:sz w:val="17"/>
              </w:rPr>
              <w:t>MRR</w:t>
            </w:r>
          </w:p>
        </w:tc>
        <w:tc>
          <w:tcPr>
            <w:tcW w:type="dxa" w:w="3389"/>
            <w:vAlign w:val="center"/>
          </w:tcPr>
          <w:p>
            <w:pPr>
              <w:spacing w:after="0"/>
            </w:pPr>
            <w:r/>
            <w:r>
              <w:rPr>
                <w:rFonts w:ascii="Aptos" w:hAnsi="Aptos"/>
                <w:b w:val="0"/>
                <w:color w:val="263746"/>
                <w:sz w:val="17"/>
              </w:rPr>
              <w:t>0.667</w:t>
            </w:r>
          </w:p>
        </w:tc>
        <w:tc>
          <w:tcPr>
            <w:tcW w:type="dxa" w:w="3389"/>
            <w:vAlign w:val="center"/>
          </w:tcPr>
          <w:p>
            <w:pPr>
              <w:spacing w:after="0"/>
            </w:pPr>
            <w:r/>
            <w:r>
              <w:rPr>
                <w:rFonts w:ascii="Aptos" w:hAnsi="Aptos"/>
                <w:b w:val="0"/>
                <w:color w:val="263746"/>
                <w:sz w:val="17"/>
              </w:rPr>
              <w:t>Mean reciprocal rank: (1/1 + 1/2 + 1/2) / 3.</w:t>
            </w:r>
          </w:p>
        </w:tc>
      </w:tr>
      <w:tr>
        <w:tc>
          <w:tcPr>
            <w:tcW w:type="dxa" w:w="3389"/>
            <w:vAlign w:val="center"/>
          </w:tcPr>
          <w:p>
            <w:pPr>
              <w:spacing w:after="0"/>
            </w:pPr>
            <w:r/>
            <w:r>
              <w:rPr>
                <w:rFonts w:ascii="Aptos" w:hAnsi="Aptos"/>
                <w:b w:val="0"/>
                <w:color w:val="263746"/>
                <w:sz w:val="17"/>
              </w:rPr>
              <w:t>NDCG@3</w:t>
            </w:r>
          </w:p>
        </w:tc>
        <w:tc>
          <w:tcPr>
            <w:tcW w:type="dxa" w:w="3389"/>
            <w:vAlign w:val="center"/>
          </w:tcPr>
          <w:p>
            <w:pPr>
              <w:spacing w:after="0"/>
            </w:pPr>
            <w:r/>
            <w:r>
              <w:rPr>
                <w:rFonts w:ascii="Aptos" w:hAnsi="Aptos"/>
                <w:b w:val="0"/>
                <w:color w:val="263746"/>
                <w:sz w:val="17"/>
              </w:rPr>
              <w:t>0.754</w:t>
            </w:r>
          </w:p>
        </w:tc>
        <w:tc>
          <w:tcPr>
            <w:tcW w:type="dxa" w:w="3389"/>
            <w:vAlign w:val="center"/>
          </w:tcPr>
          <w:p>
            <w:pPr>
              <w:spacing w:after="0"/>
            </w:pPr>
            <w:r/>
            <w:r>
              <w:rPr>
                <w:rFonts w:ascii="Aptos" w:hAnsi="Aptos"/>
                <w:b w:val="0"/>
                <w:color w:val="263746"/>
                <w:sz w:val="17"/>
              </w:rPr>
              <w:t>Mean discounted gain with one relevant source per case; rank-1 case scores 1.0 and rank-2 cases about 0.631 each.</w:t>
            </w:r>
          </w:p>
        </w:tc>
      </w:tr>
    </w:tbl>
    <w:p>
      <w:pPr>
        <w:pStyle w:val="Heading1"/>
      </w:pPr>
      <w:r>
        <w:t>What the results establish</w:t>
      </w:r>
    </w:p>
    <w:p>
      <w:pPr>
        <w:pStyle w:val="ListBullet"/>
        <w:spacing w:after="80"/>
        <w:ind w:left="317" w:hanging="202"/>
      </w:pPr>
      <w:r>
        <w:rPr>
          <w:rFonts w:ascii="Aptos" w:hAnsi="Aptos"/>
          <w:b/>
          <w:color w:val="1F5A7A"/>
          <w:sz w:val="18"/>
        </w:rPr>
        <w:t xml:space="preserve">Hybrid path is active. </w:t>
      </w:r>
      <w:r>
        <w:rPr>
          <w:rFonts w:ascii="Aptos" w:hAnsi="Aptos"/>
          <w:color w:val="263746"/>
          <w:sz w:val="18"/>
        </w:rPr>
        <w:t>The index has complete, dimension-consistent embeddings and the endpoint reports hybrid BM25 plus local vector search.</w:t>
      </w:r>
    </w:p>
    <w:p>
      <w:pPr>
        <w:pStyle w:val="ListBullet"/>
        <w:spacing w:after="80"/>
        <w:ind w:left="317" w:hanging="202"/>
      </w:pPr>
      <w:r>
        <w:rPr>
          <w:rFonts w:ascii="Aptos" w:hAnsi="Aptos"/>
          <w:b/>
          <w:color w:val="1F5A7A"/>
          <w:sz w:val="18"/>
        </w:rPr>
        <w:t xml:space="preserve">Evidence coverage is strong for these known defects. </w:t>
      </w:r>
      <w:r>
        <w:rPr>
          <w:rFonts w:ascii="Aptos" w:hAnsi="Aptos"/>
          <w:color w:val="263746"/>
          <w:sz w:val="18"/>
        </w:rPr>
        <w:t>The expected file and method are retrieved within the top three results in all three cases.</w:t>
      </w:r>
    </w:p>
    <w:p>
      <w:pPr>
        <w:pStyle w:val="ListBullet"/>
        <w:spacing w:after="80"/>
        <w:ind w:left="317" w:hanging="202"/>
      </w:pPr>
      <w:r>
        <w:rPr>
          <w:rFonts w:ascii="Aptos" w:hAnsi="Aptos"/>
          <w:b/>
          <w:color w:val="1F5A7A"/>
          <w:sz w:val="18"/>
        </w:rPr>
        <w:t xml:space="preserve">First-result precision needs work. </w:t>
      </w:r>
      <w:r>
        <w:rPr>
          <w:rFonts w:ascii="Aptos" w:hAnsi="Aptos"/>
          <w:color w:val="263746"/>
          <w:sz w:val="18"/>
        </w:rPr>
        <w:t>Two expected methods rank second, behind methods that are closely related in the execution path.</w:t>
      </w:r>
    </w:p>
    <w:p>
      <w:pPr>
        <w:pStyle w:val="ListBullet"/>
        <w:spacing w:after="80"/>
        <w:ind w:left="317" w:hanging="202"/>
      </w:pPr>
      <w:r>
        <w:rPr>
          <w:rFonts w:ascii="Aptos" w:hAnsi="Aptos"/>
          <w:b/>
          <w:color w:val="1F5A7A"/>
          <w:sz w:val="18"/>
        </w:rPr>
        <w:t xml:space="preserve">Vector similarity contributes a usable signal. </w:t>
      </w:r>
      <w:r>
        <w:rPr>
          <w:rFonts w:ascii="Aptos" w:hAnsi="Aptos"/>
          <w:color w:val="263746"/>
          <w:sz w:val="18"/>
        </w:rPr>
        <w:t>The expected-source cosine values range from 0.497 to 0.710 in this run. Similarity values are query-to-chunk scores, not calibrated correctness probabilities.</w:t>
      </w:r>
    </w:p>
    <w:p>
      <w:pPr>
        <w:pStyle w:val="Heading1"/>
      </w:pPr>
      <w:r>
        <w:t>Limitations</w:t>
      </w:r>
    </w:p>
    <w:p>
      <w:pPr>
        <w:spacing w:after="100" w:line="259" w:lineRule="auto"/>
      </w:pPr>
      <w:r>
        <w:rPr>
          <w:rFonts w:ascii="Aptos" w:hAnsi="Aptos"/>
          <w:color w:val="263746"/>
          <w:sz w:val="19"/>
        </w:rPr>
        <w:t>The gold set contains only three cases and one expected method per case. That is enough to confirm the configured retrieval path and catch obvious source misses, but too small to estimate performance on real-world incident traffic. No query paraphrases, negative cases, missing-evidence cases, or multi-source gold labels were included.</w:t>
      </w:r>
    </w:p>
    <w:p>
      <w:pPr>
        <w:spacing w:after="140" w:line="259" w:lineRule="auto"/>
      </w:pPr>
      <w:r>
        <w:rPr>
          <w:rFonts w:ascii="Aptos" w:hAnsi="Aptos"/>
          <w:color w:val="263746"/>
          <w:sz w:val="19"/>
        </w:rPr>
        <w:t>The endpoint returned deterministic demo explanations. This report therefore makes no claim about generative answer accuracy, citation faithfulness, remediation safety, or whether a human investigator would accept the RCA. The ranking scores are useful for ordering evidence within a case, not for comparing confidence across cases.</w:t>
      </w:r>
    </w:p>
    <w:p>
      <w:pPr>
        <w:pStyle w:val="Heading1"/>
      </w:pPr>
      <w:r>
        <w:t>Recommended follow-up</w:t>
      </w:r>
    </w:p>
    <w:p>
      <w:pPr>
        <w:pStyle w:val="ListBullet"/>
        <w:spacing w:after="80"/>
        <w:ind w:left="317" w:hanging="202"/>
      </w:pPr>
      <w:r>
        <w:rPr>
          <w:rFonts w:ascii="Aptos" w:hAnsi="Aptos"/>
          <w:b/>
          <w:color w:val="1F5A7A"/>
          <w:sz w:val="18"/>
        </w:rPr>
        <w:t xml:space="preserve">Expand the evaluation set. </w:t>
      </w:r>
      <w:r>
        <w:rPr>
          <w:rFonts w:ascii="Aptos" w:hAnsi="Aptos"/>
          <w:color w:val="263746"/>
          <w:sz w:val="18"/>
        </w:rPr>
        <w:t>Add varied phrasings for each defect, more code paths, and cases where the correct result is that evidence is insufficient.</w:t>
      </w:r>
    </w:p>
    <w:p>
      <w:pPr>
        <w:pStyle w:val="ListBullet"/>
        <w:spacing w:after="80"/>
        <w:ind w:left="317" w:hanging="202"/>
      </w:pPr>
      <w:r>
        <w:rPr>
          <w:rFonts w:ascii="Aptos" w:hAnsi="Aptos"/>
          <w:b/>
          <w:color w:val="1F5A7A"/>
          <w:sz w:val="18"/>
        </w:rPr>
        <w:t xml:space="preserve">Improve first-result ranking. </w:t>
      </w:r>
      <w:r>
        <w:rPr>
          <w:rFonts w:ascii="Aptos" w:hAnsi="Aptos"/>
          <w:color w:val="263746"/>
          <w:sz w:val="18"/>
        </w:rPr>
        <w:t>Review query expansion, source metadata, and candidate reranking so direct root-cause methods outrank orchestration methods when the gold case identifies a specific method.</w:t>
      </w:r>
    </w:p>
    <w:p>
      <w:pPr>
        <w:pStyle w:val="ListBullet"/>
        <w:spacing w:after="80"/>
        <w:ind w:left="317" w:hanging="202"/>
      </w:pPr>
      <w:r>
        <w:rPr>
          <w:rFonts w:ascii="Aptos" w:hAnsi="Aptos"/>
          <w:b/>
          <w:color w:val="1F5A7A"/>
          <w:sz w:val="18"/>
        </w:rPr>
        <w:t xml:space="preserve">Evaluate answers separately. </w:t>
      </w:r>
      <w:r>
        <w:rPr>
          <w:rFonts w:ascii="Aptos" w:hAnsi="Aptos"/>
          <w:color w:val="263746"/>
          <w:sz w:val="18"/>
        </w:rPr>
        <w:t>For each case, score factual alignment to the gold cause, citation support, and whether the proposed remediation follows from retrieved code.</w:t>
      </w:r>
    </w:p>
    <w:p>
      <w:pPr>
        <w:pStyle w:val="ListBullet"/>
        <w:spacing w:after="80"/>
        <w:ind w:left="317" w:hanging="202"/>
      </w:pPr>
      <w:r>
        <w:rPr>
          <w:rFonts w:ascii="Aptos" w:hAnsi="Aptos"/>
          <w:b/>
          <w:color w:val="1F5A7A"/>
          <w:sz w:val="18"/>
        </w:rPr>
        <w:t xml:space="preserve">Track regressions. </w:t>
      </w:r>
      <w:r>
        <w:rPr>
          <w:rFonts w:ascii="Aptos" w:hAnsi="Aptos"/>
          <w:color w:val="263746"/>
          <w:sz w:val="18"/>
        </w:rPr>
        <w:t>Record Hit@1, Hit@3, MRR, and NDCG@3 on each code/index change and fail the check if a gold source disappears from the top three.</w:t>
      </w:r>
    </w:p>
    <w:p>
      <w:pPr>
        <w:pStyle w:val="Heading1"/>
      </w:pPr>
      <w:r>
        <w:t>Conclusion</w:t>
      </w:r>
    </w:p>
    <w:p>
      <w:pPr>
        <w:spacing w:after="0" w:line="259" w:lineRule="auto"/>
      </w:pPr>
      <w:r>
        <w:rPr>
          <w:rFonts w:ascii="Aptos" w:hAnsi="Aptos"/>
          <w:color w:val="263746"/>
          <w:sz w:val="19"/>
        </w:rPr>
        <w:t>For the three supplied defect cases, hybrid RootLens retrieval is functioning and provides relevant source evidence in the top three for every case. The principal retrieval gap is ordering: payment and inventory expected methods are second rather than first. Treat these findings as a narrow validation of retrieval behavior, then broaden the gold set before using the metrics as a general quality claim.</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color w:val="5B6B78"/>
        <w:sz w:val="16"/>
      </w:rPr>
      <w:t xml:space="preserve">ROOTLENS  |  HYBRID RAG EVALUATION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5A7A"/>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87E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RootLens Hybrid RAG Evaluation Report</dc:title>
  <dc:subject>Hybrid retrieval evaluation for three known defect cases</dc:subject>
  <dc:creator>RootLens</dc:creator>
  <cp:keywords>RAG, hybrid retrieval, BM25, cosine similarity, evaluation</cp:keywords>
  <dc:description>generated by python-docx</dc:description>
  <cp:lastModifiedBy/>
  <cp:revision>1</cp:revision>
  <dcterms:created xsi:type="dcterms:W3CDTF">2013-12-23T23:15:00Z</dcterms:created>
  <dcterms:modified xsi:type="dcterms:W3CDTF">2013-12-23T23:15:00Z</dcterms:modified>
  <cp:category/>
</cp:coreProperties>
</file>