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About the Dashboard</w:t>
      </w:r>
    </w:p>
    <w:p>
      <w:r>
        <w:rPr>
          <w:b/>
        </w:rPr>
        <w:t>The Power Supply and Service Quality Dashboard brings together electricity distribution standards prescribed by State Electricity Regulatory Commissions and corresponding performance reported by DISCOMs. It is designed to make information on the quality, reliability, service and safety of electricity distribution easier to access, compare and understand, while being transparent about where meaningful comparison is and is not possible.</w:t>
      </w:r>
    </w:p>
    <w:p>
      <w:pPr>
        <w:pStyle w:val="Heading1"/>
        <w:keepNext/>
        <w:keepLines/>
      </w:pPr>
      <w:r>
        <w:t>Why this dashboard?</w:t>
      </w:r>
    </w:p>
    <w:p>
      <w:r>
        <w:t>India’s electricity sector has made substantial progress in expanding access and improving the availability of electricity. As the sector evolves, the conversation increasingly needs to move beyond whether electricity is available to also consider the quality, reliability and service experience associated with electricity supply.</w:t>
      </w:r>
    </w:p>
    <w:p>
      <w:r>
        <w:t>For consumers, electricity supply is experienced through questions such as: How frequently does supply get interrupted? How long do interruptions last? Are voltage-related issues addressed? Are complaints resolved within the prescribed timelines? How reliably are distribution systems maintained? And how consistently are these aspects of performance measured and reported?</w:t>
      </w:r>
    </w:p>
    <w:p>
      <w:r>
        <w:t>Electricity Regulatory Commissions prescribe standards intended to govern many of these aspects of distribution performance. DISCOMs, in turn, report performance through regulatory filings, Standards of Performance reports, reliability reports and other disclosures. However, this information is often spread across regulations, amendments, annexures, regulatory websites and DISCOM reports, with considerable variation in terminology, reporting periods, units and formats.</w:t>
      </w:r>
    </w:p>
    <w:p>
      <w:r>
        <w:t>This makes it difficult to obtain a clear and comparable picture of the quality of electricity supply and service experienced across distribution utilities.</w:t>
      </w:r>
    </w:p>
    <w:p>
      <w:r>
        <w:t>The Power Supply and Service Quality Dashboard has been developed to bring this information together in a structured and transparent form.</w:t>
      </w:r>
    </w:p>
    <w:p>
      <w:pPr>
        <w:pStyle w:val="Heading1"/>
        <w:keepNext/>
        <w:keepLines/>
      </w:pPr>
      <w:r>
        <w:t>What does the dashboard do?</w:t>
      </w:r>
    </w:p>
    <w:p>
      <w:r>
        <w:t>The dashboard brings together two sides of the regulatory framework: the standards prescribed by State Electricity Regulatory Commissions, and the corresponding performance reported by DISCOMs.</w:t>
      </w:r>
    </w:p>
    <w:p>
      <w:r>
        <w:t>It organises this information around three broad dimensions:</w:t>
      </w:r>
    </w:p>
    <w:p>
      <w:pPr>
        <w:pStyle w:val="ListBullet"/>
        <w:spacing w:after="20"/>
      </w:pPr>
      <w:r>
        <w:t>Quality &amp; Reliability of Supply</w:t>
      </w:r>
    </w:p>
    <w:p>
      <w:pPr>
        <w:pStyle w:val="ListBullet"/>
        <w:spacing w:after="20"/>
      </w:pPr>
      <w:r>
        <w:t>Quality of Service</w:t>
      </w:r>
    </w:p>
    <w:p>
      <w:pPr>
        <w:pStyle w:val="ListBullet"/>
        <w:spacing w:after="20"/>
      </w:pPr>
      <w:r>
        <w:t>Safety</w:t>
      </w:r>
    </w:p>
    <w:p>
      <w:r>
        <w:t>Where the regulatory standard and reported performance are directly comparable, the dashboard assesses whether the prescribed standard was met.</w:t>
      </w:r>
    </w:p>
    <w:p>
      <w:r>
        <w:t>Where a valid comparison cannot be made, the dashboard does not force one. Instead, it identifies why comparison is not possible, for example because the regulation and reported data use different definitions, reporting periods, aggregation levels or measurement bases.</w:t>
      </w:r>
    </w:p>
    <w:p>
      <w:r>
        <w:t>This distinction is important. The objective is not to produce rankings or compliance conclusions where the underlying evidence does not support them, but to make the available evidence easier to understand and interrogate.</w:t>
      </w:r>
    </w:p>
    <w:p>
      <w:pPr>
        <w:pStyle w:val="Heading1"/>
        <w:keepNext/>
        <w:keepLines/>
      </w:pPr>
      <w:r>
        <w:t>What problem are we trying to address?</w:t>
      </w:r>
    </w:p>
    <w:p>
      <w:r>
        <w:t>Information on electricity quality and service is publicly available in many cases, but availability does not always translate into accessibility or comparability.</w:t>
      </w:r>
    </w:p>
    <w:p>
      <w:r>
        <w:t>Across states and utilities:</w:t>
      </w:r>
    </w:p>
    <w:p>
      <w:pPr>
        <w:pStyle w:val="ListBullet"/>
        <w:spacing w:after="20"/>
      </w:pPr>
      <w:r>
        <w:t>the same indicator may be reported using different units or terminology;</w:t>
      </w:r>
    </w:p>
    <w:p>
      <w:pPr>
        <w:pStyle w:val="ListBullet"/>
        <w:spacing w:after="20"/>
      </w:pPr>
      <w:r>
        <w:t>standards and performance data may appear in different documents;</w:t>
      </w:r>
    </w:p>
    <w:p>
      <w:pPr>
        <w:pStyle w:val="ListBullet"/>
        <w:spacing w:after="20"/>
      </w:pPr>
      <w:r>
        <w:t>reporting may be monthly, quarterly or annual;</w:t>
      </w:r>
    </w:p>
    <w:p>
      <w:pPr>
        <w:pStyle w:val="ListBullet"/>
        <w:spacing w:after="20"/>
      </w:pPr>
      <w:r>
        <w:t>regulatory requirements may vary by consumer category, location or voltage level;</w:t>
      </w:r>
    </w:p>
    <w:p>
      <w:pPr>
        <w:pStyle w:val="ListBullet"/>
        <w:spacing w:after="20"/>
      </w:pPr>
      <w:r>
        <w:t>important definitions may appear in regulations rather than in the performance tables themselves;</w:t>
      </w:r>
    </w:p>
    <w:p>
      <w:pPr>
        <w:pStyle w:val="ListBullet"/>
        <w:spacing w:after="20"/>
      </w:pPr>
      <w:r>
        <w:t>data may be published in formats that are difficult to analyse; and</w:t>
      </w:r>
    </w:p>
    <w:p>
      <w:pPr>
        <w:pStyle w:val="ListBullet"/>
        <w:spacing w:after="20"/>
      </w:pPr>
      <w:r>
        <w:t>some indicators may be regulated but not publicly reported, while others may be reported without a corresponding quantitative benchmark.</w:t>
      </w:r>
    </w:p>
    <w:p>
      <w:r>
        <w:t>The dashboard therefore also helps reveal where the evidence base itself is strong and where gaps in reporting, standardisation or accessibility remain.</w:t>
      </w:r>
    </w:p>
    <w:p>
      <w:pPr>
        <w:pStyle w:val="Heading1"/>
        <w:keepNext/>
        <w:keepLines/>
      </w:pPr>
      <w:r>
        <w:t>How should the dashboard be used?</w:t>
      </w:r>
    </w:p>
    <w:p>
      <w:r>
        <w:t>The dashboard is intended primarily as an evidence and comparison tool.</w:t>
      </w:r>
    </w:p>
    <w:p>
      <w:r>
        <w:t>It enables users to examine:</w:t>
      </w:r>
    </w:p>
    <w:p>
      <w:pPr>
        <w:pStyle w:val="ListBullet"/>
        <w:spacing w:after="20"/>
      </w:pPr>
      <w:r>
        <w:t>what standards have been prescribed;</w:t>
      </w:r>
    </w:p>
    <w:p>
      <w:pPr>
        <w:pStyle w:val="ListBullet"/>
        <w:spacing w:after="20"/>
      </w:pPr>
      <w:r>
        <w:t>what DISCOMs have publicly reported;</w:t>
      </w:r>
    </w:p>
    <w:p>
      <w:pPr>
        <w:pStyle w:val="ListBullet"/>
        <w:spacing w:after="20"/>
      </w:pPr>
      <w:r>
        <w:t>how reported performance has changed over time;</w:t>
      </w:r>
    </w:p>
    <w:p>
      <w:pPr>
        <w:pStyle w:val="ListBullet"/>
        <w:spacing w:after="20"/>
      </w:pPr>
      <w:r>
        <w:t>where meaningful comparisons can be made;</w:t>
      </w:r>
    </w:p>
    <w:p>
      <w:pPr>
        <w:pStyle w:val="ListBullet"/>
        <w:spacing w:after="20"/>
      </w:pPr>
      <w:r>
        <w:t>whether directly comparable standards have been met; and</w:t>
      </w:r>
    </w:p>
    <w:p>
      <w:pPr>
        <w:pStyle w:val="ListBullet"/>
        <w:spacing w:after="20"/>
      </w:pPr>
      <w:r>
        <w:t>where differences in regulation or reporting limit comparison.</w:t>
      </w:r>
    </w:p>
    <w:p>
      <w:r>
        <w:t>Where reported data are available at monthly or quarterly frequency, the original reporting basis is retained. A financial-year-level value is also calculated where this can be done without changing the mathematical meaning of the indicator.</w:t>
      </w:r>
    </w:p>
    <w:p>
      <w:r>
        <w:t>Regulatory standards themselves are not altered merely to facilitate comparison. Compliance is assessed on the basis on which the standard was originally prescribed.</w:t>
      </w:r>
    </w:p>
    <w:p>
      <w:pPr>
        <w:pStyle w:val="Heading1"/>
        <w:keepNext/>
        <w:keepLines/>
      </w:pPr>
      <w:r>
        <w:t>Coverage</w:t>
      </w:r>
    </w:p>
    <w:p>
      <w:r>
        <w:t>The dashboard currently covers public DISCOMs across 12 of India’s largest states by population: Uttar Pradesh, Maharashtra, Bihar, West Bengal, Madhya Pradesh, Tamil Nadu, Rajasthan, Karnataka, Gujarat, Andhra Pradesh, Odisha and Telangana.</w:t>
      </w:r>
    </w:p>
    <w:p>
      <w:r>
        <w:t>In Odisha, the distribution utilities are public-private joint ventures and are included accordingly.</w:t>
      </w:r>
    </w:p>
    <w:p>
      <w:r>
        <w:t>The dataset currently covers FY 2021–22 to FY 2025–26, subject to the availability of applicable regulations and publicly reported utility data.</w:t>
      </w:r>
    </w:p>
    <w:p>
      <w:r>
        <w:t>The unit of analysis is the DISCOM, with the dashboard focusing on indicators relevant to electricity supply and service performance.</w:t>
      </w:r>
    </w:p>
    <w:p>
      <w:pPr>
        <w:pStyle w:val="Heading1"/>
        <w:keepNext/>
        <w:keepLines/>
      </w:pPr>
      <w:r>
        <w:t>Our approach to comparability</w:t>
      </w:r>
    </w:p>
    <w:p>
      <w:r>
        <w:t>A central principle of the dashboard is that comparison should not come at the cost of accuracy.</w:t>
      </w:r>
    </w:p>
    <w:p>
      <w:r>
        <w:t>Reported information is standardised where a direct and technically valid conversion is possible, such as converting hours to minutes or constructing an annual percentage from the appropriate underlying numerator and denominator.</w:t>
      </w:r>
    </w:p>
    <w:p>
      <w:r>
        <w:t>However, the dashboard does not create artificial comparability by changing the substantive basis of a regulatory standard or by making unsupported assumptions about missing information.</w:t>
      </w:r>
    </w:p>
    <w:p>
      <w:r>
        <w:t>A comparison is made only when the regulatory standard and reported performance align sufficiently in terms of the indicator definition, unit, reporting period, consumer category, geography, methodology and aggregation level.</w:t>
      </w:r>
    </w:p>
    <w:p>
      <w:r>
        <w:t>Where they do not, this is stated explicitly.</w:t>
      </w:r>
    </w:p>
    <w:p>
      <w:pPr>
        <w:pStyle w:val="Heading1"/>
        <w:keepNext/>
        <w:keepLines/>
      </w:pPr>
      <w:r>
        <w:t>Transparency and traceability</w:t>
      </w:r>
    </w:p>
    <w:p>
      <w:r>
        <w:t>Every dashboard entry is designed to remain traceable to its underlying evidence.</w:t>
      </w:r>
    </w:p>
    <w:p>
      <w:r>
        <w:t>The research process records, wherever available:</w:t>
      </w:r>
    </w:p>
    <w:p>
      <w:pPr>
        <w:pStyle w:val="ListBullet"/>
        <w:spacing w:after="20"/>
      </w:pPr>
      <w:r>
        <w:t>the applicable regulation and amendments;</w:t>
      </w:r>
    </w:p>
    <w:p>
      <w:pPr>
        <w:pStyle w:val="ListBullet"/>
        <w:spacing w:after="20"/>
      </w:pPr>
      <w:r>
        <w:t>the source of the reported performance;</w:t>
      </w:r>
    </w:p>
    <w:p>
      <w:pPr>
        <w:pStyle w:val="ListBullet"/>
        <w:spacing w:after="20"/>
      </w:pPr>
      <w:r>
        <w:t>indicator definitions and units;</w:t>
      </w:r>
    </w:p>
    <w:p>
      <w:pPr>
        <w:pStyle w:val="ListBullet"/>
        <w:spacing w:after="20"/>
      </w:pPr>
      <w:r>
        <w:t>reporting periods and methodologies;</w:t>
      </w:r>
    </w:p>
    <w:p>
      <w:pPr>
        <w:pStyle w:val="ListBullet"/>
        <w:spacing w:after="20"/>
      </w:pPr>
      <w:r>
        <w:t>calculations and standardisation performed; and</w:t>
      </w:r>
    </w:p>
    <w:p>
      <w:pPr>
        <w:pStyle w:val="ListBullet"/>
        <w:spacing w:after="20"/>
      </w:pPr>
      <w:r>
        <w:t>the reason where a direct comparison cannot be made.</w:t>
      </w:r>
    </w:p>
    <w:p>
      <w:r>
        <w:t>This allows the dashboard to provide a simplified public-facing view without losing the underlying evidence and methodological trail.</w:t>
      </w:r>
    </w:p>
    <w:p>
      <w:pPr>
        <w:pStyle w:val="Heading1"/>
        <w:keepNext/>
        <w:keepLines/>
      </w:pPr>
      <w:r>
        <w:t>What we hope this enables</w:t>
      </w:r>
    </w:p>
    <w:p>
      <w:r>
        <w:t>The dashboard is not intended simply to facilitate comparison between utilities.</w:t>
      </w:r>
    </w:p>
    <w:p>
      <w:r>
        <w:t>It is intended to support evidence-based conversations on improving the quality and reliability of electricity supply to consumers and to strengthen the attention given to these issues by utilities, regulators and other relevant authorities.</w:t>
      </w:r>
    </w:p>
    <w:p>
      <w:r>
        <w:t>As electricity systems become more decentralised, digital and consumer-facing, measuring the quality of the electricity experience becomes increasingly important. Making standards and reported performance easier to access and interpret is one step towards bringing greater visibility to this dimension of the electricity transition.</w:t>
      </w:r>
    </w:p>
    <w:sectPr w:rsidR="00FC693F" w:rsidRPr="0006063C" w:rsidSect="00034616">
      <w:footerReference w:type="default" r:id="rId9"/>
      <w:pgSz w:w="12240" w:h="15840"/>
      <w:pgMar w:top="936"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Power Supply and Service Quality Dashboard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365F91" w:themeColor="accent1" w:themeShade="BF"/>
      <w:sz w:val="29"/>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