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000000"/>
          <w:sz w:val="30"/>
          <w:szCs w:val="30"/>
        </w:rPr>
        <w:t xml:space="preserve">PROJECT SCOPE &amp; SPECIFICATION DOCUMENT</w:t>
      </w:r>
    </w:p>
    <w:p>
      <w:pPr>
        <w:spacing w:after="60"/>
      </w:pPr>
      <w:r>
        <w:rPr>
          <w:rFonts w:ascii="Calibri" w:cs="Calibri" w:eastAsia="Calibri" w:hAnsi="Calibri"/>
          <w:b/>
          <w:bCs/>
          <w:color w:val="9A7A00"/>
          <w:sz w:val="26"/>
          <w:szCs w:val="26"/>
        </w:rPr>
        <w:t xml:space="preserve">AI-Powered Multilingual Phonics Bridge Engine</w:t>
      </w:r>
    </w:p>
    <w:p>
      <w:pPr>
        <w:spacing w:after="40"/>
      </w:pPr>
      <w:r>
        <w:rPr>
          <w:rFonts w:ascii="Calibri" w:cs="Calibri" w:eastAsia="Calibri" w:hAnsi="Calibri"/>
          <w:color w:val="444444"/>
          <w:sz w:val="20"/>
          <w:szCs w:val="20"/>
        </w:rPr>
        <w:t xml:space="preserve">Prepared for: rural school pilot and research publication</w:t>
      </w:r>
    </w:p>
    <w:p>
      <w:pPr>
        <w:spacing w:after="40"/>
      </w:pPr>
      <w:r>
        <w:rPr>
          <w:rFonts w:ascii="Calibri" w:cs="Calibri" w:eastAsia="Calibri" w:hAnsi="Calibri"/>
          <w:color w:val="444444"/>
          <w:sz w:val="20"/>
          <w:szCs w:val="20"/>
        </w:rPr>
        <w:t xml:space="preserve">Date: August 13, 2026  |  Version: 2.0 — Final (Implementation Freeze)</w:t>
      </w:r>
    </w:p>
    <w:p>
      <w:pPr>
        <w:spacing w:after="60"/>
      </w:pPr>
      <w:r>
        <w:rPr>
          <w:rFonts w:ascii="Calibri" w:cs="Calibri" w:eastAsia="Calibri" w:hAnsi="Calibri"/>
          <w:b/>
          <w:bCs/>
          <w:color w:val="9A7A00"/>
          <w:sz w:val="20"/>
          <w:szCs w:val="20"/>
        </w:rPr>
        <w:t xml:space="preserve">Status: Delivered — all listed features implemented. No further changes will be made.</w:t>
      </w:r>
    </w:p>
    <w:p>
      <w:pPr>
        <w:pBdr>
          <w:bottom w:val="single" w:color="FFD400" w:sz="6" w:space="1"/>
        </w:pBdr>
        <w:spacing w:after="160" w:before="120"/>
      </w:pPr>
      <w:r>
        <w:t xml:space="preserve"/>
      </w:r>
    </w:p>
    <w:p>
      <w:pPr>
        <w:pStyle w:val="Heading1"/>
        <w:spacing w:after="120" w:before="260"/>
      </w:pPr>
      <w:r>
        <w:rPr>
          <w:rFonts w:ascii="Calibri" w:cs="Calibri" w:eastAsia="Calibri" w:hAnsi="Calibri"/>
          <w:b/>
          <w:bCs/>
          <w:color w:val="000000"/>
        </w:rPr>
        <w:t xml:space="preserve">1. Executive Summary &amp; Background</w:t>
      </w:r>
    </w:p>
    <w:p>
      <w:pPr>
        <w:spacing w:after="120" w:line="276"/>
      </w:pPr>
      <w:r>
        <w:rPr>
          <w:rFonts w:ascii="Calibri" w:cs="Calibri" w:eastAsia="Calibri" w:hAnsi="Calibri"/>
          <w:color w:val="000000"/>
          <w:sz w:val="22"/>
          <w:szCs w:val="22"/>
        </w:rPr>
        <w:t xml:space="preserve">The AI-Powered Multilingual Phonics Bridge Engine is designed to bridge the phonetic and English-learning gaps for children in rural Indian schools. Following our latest review, the project underwent a user-centric overhaul to streamline the application structure for rural educators, simplify teacher-facing features, and support an upcoming pilot program.</w:t>
      </w:r>
    </w:p>
    <w:p>
      <w:pPr>
        <w:spacing w:after="120" w:line="276"/>
      </w:pPr>
      <w:r>
        <w:rPr>
          <w:rFonts w:ascii="Calibri" w:cs="Calibri" w:eastAsia="Calibri" w:hAnsi="Calibri"/>
          <w:color w:val="000000"/>
          <w:sz w:val="22"/>
          <w:szCs w:val="22"/>
        </w:rPr>
        <w:t xml:space="preserve">The primary goal of this pilot is to implement the engine across 8 to 10 schools, reaching approximately 500 students per school. The data gathered during this pilot will directly feed into a peer-reviewed research paper and future education award applications. To achieve these goals, the system prioritizes simplicity of operation for teachers while ensuring comprehensive, tag-based data capture on the backend.</w:t>
      </w:r>
    </w:p>
    <w:p>
      <w:pPr>
        <w:pStyle w:val="Heading1"/>
        <w:spacing w:after="120" w:before="260"/>
      </w:pPr>
      <w:r>
        <w:rPr>
          <w:rFonts w:ascii="Calibri" w:cs="Calibri" w:eastAsia="Calibri" w:hAnsi="Calibri"/>
          <w:b/>
          <w:bCs/>
          <w:color w:val="000000"/>
        </w:rPr>
        <w:t xml:space="preserve">2. Strategic Key Takeaways &amp; Pivot Rationale</w:t>
      </w:r>
    </w:p>
    <w:p>
      <w:pPr>
        <w:pStyle w:val="Heading2"/>
        <w:spacing w:after="120" w:before="260"/>
      </w:pPr>
      <w:r>
        <w:rPr>
          <w:rFonts w:ascii="Calibri" w:cs="Calibri" w:eastAsia="Calibri" w:hAnsi="Calibri"/>
          <w:b/>
          <w:bCs/>
          <w:color w:val="9A7A00"/>
        </w:rPr>
        <w:t xml:space="preserve">2.1 Pronunciation Feedback Overhaul</w:t>
      </w:r>
    </w:p>
    <w:p>
      <w:pPr>
        <w:spacing w:after="120" w:line="276"/>
      </w:pPr>
      <w:r>
        <w:rPr>
          <w:rFonts w:ascii="Calibri" w:cs="Calibri" w:eastAsia="Calibri" w:hAnsi="Calibri"/>
          <w:color w:val="000000"/>
          <w:sz w:val="22"/>
          <w:szCs w:val="22"/>
        </w:rPr>
        <w:t xml:space="preserve">The existing lip and airflow vector animation model proved confusing and ineffective, even for rural and native English speakers. It has been replaced with direct, on-demand pronunciation audio in Indian English, with a Slow / Normal speed control. A Hindi phonetic breakdown accompanies the English phonetic helper to make pronunciation guidance intuitive for non-native, rural learners.</w:t>
      </w:r>
    </w:p>
    <w:p>
      <w:pPr>
        <w:pStyle w:val="Heading2"/>
        <w:spacing w:after="120" w:before="260"/>
      </w:pPr>
      <w:r>
        <w:rPr>
          <w:rFonts w:ascii="Calibri" w:cs="Calibri" w:eastAsia="Calibri" w:hAnsi="Calibri"/>
          <w:b/>
          <w:bCs/>
          <w:color w:val="9A7A00"/>
        </w:rPr>
        <w:t xml:space="preserve">2.2 Teacher Onboarding &amp; Workload Reduction</w:t>
      </w:r>
    </w:p>
    <w:p>
      <w:pPr>
        <w:spacing w:after="120" w:line="276"/>
      </w:pPr>
      <w:r>
        <w:rPr>
          <w:rFonts w:ascii="Calibri" w:cs="Calibri" w:eastAsia="Calibri" w:hAnsi="Calibri"/>
          <w:color w:val="000000"/>
          <w:sz w:val="22"/>
          <w:szCs w:val="22"/>
        </w:rPr>
        <w:t xml:space="preserve">Teachers in rural settings often have constrained technical familiarity and phonetic knowledge. Complex dashboards create anxiety and lead to low platform adoption. Therefore:</w:t>
      </w:r>
    </w:p>
    <w:p>
      <w:pPr>
        <w:pStyle w:val="ListParagraph"/>
        <w:numPr>
          <w:ilvl w:val="0"/>
          <w:numId w:val="1"/>
        </w:numPr>
        <w:spacing w:after="80" w:line="276"/>
      </w:pPr>
      <w:r>
        <w:rPr>
          <w:rFonts w:ascii="Calibri" w:cs="Calibri" w:eastAsia="Calibri" w:hAnsi="Calibri"/>
          <w:b/>
          <w:bCs/>
          <w:color w:val="000000"/>
          <w:sz w:val="22"/>
          <w:szCs w:val="22"/>
        </w:rPr>
        <w:t xml:space="preserve">Onboarding Guide: </w:t>
      </w:r>
      <w:r>
        <w:rPr>
          <w:rFonts w:ascii="Calibri" w:cs="Calibri" w:eastAsia="Calibri" w:hAnsi="Calibri"/>
          <w:color w:val="000000"/>
          <w:sz w:val="22"/>
          <w:szCs w:val="22"/>
        </w:rPr>
        <w:t xml:space="preserve">A short, step-by-step walkthrough video guides teachers and students on how to use the platform. It plays automatically on first registration and can be reopened anytime from an info (ⓘ) button.</w:t>
      </w:r>
    </w:p>
    <w:p>
      <w:pPr>
        <w:pStyle w:val="ListParagraph"/>
        <w:numPr>
          <w:ilvl w:val="0"/>
          <w:numId w:val="1"/>
        </w:numPr>
        <w:spacing w:after="80" w:line="276"/>
      </w:pPr>
      <w:r>
        <w:rPr>
          <w:rFonts w:ascii="Calibri" w:cs="Calibri" w:eastAsia="Calibri" w:hAnsi="Calibri"/>
          <w:b/>
          <w:bCs/>
          <w:color w:val="000000"/>
          <w:sz w:val="22"/>
          <w:szCs w:val="22"/>
        </w:rPr>
        <w:t xml:space="preserve">Simplified Reporting: </w:t>
      </w:r>
      <w:r>
        <w:rPr>
          <w:rFonts w:ascii="Calibri" w:cs="Calibri" w:eastAsia="Calibri" w:hAnsi="Calibri"/>
          <w:color w:val="000000"/>
          <w:sz w:val="22"/>
          <w:szCs w:val="22"/>
        </w:rPr>
        <w:t xml:space="preserve">Manual student-tracking overhead is replaced by automated progress reports emailed to school leadership.</w:t>
      </w:r>
    </w:p>
    <w:p>
      <w:pPr>
        <w:pStyle w:val="Heading2"/>
        <w:spacing w:after="120" w:before="260"/>
      </w:pPr>
      <w:r>
        <w:rPr>
          <w:rFonts w:ascii="Calibri" w:cs="Calibri" w:eastAsia="Calibri" w:hAnsi="Calibri"/>
          <w:b/>
          <w:bCs/>
          <w:color w:val="9A7A00"/>
        </w:rPr>
        <w:t xml:space="preserve">2.3 Automated Principal Reporting &amp; Registration Update</w:t>
      </w:r>
    </w:p>
    <w:p>
      <w:pPr>
        <w:spacing w:after="120" w:line="276"/>
      </w:pPr>
      <w:r>
        <w:rPr>
          <w:rFonts w:ascii="Calibri" w:cs="Calibri" w:eastAsia="Calibri" w:hAnsi="Calibri"/>
          <w:color w:val="000000"/>
          <w:sz w:val="22"/>
          <w:szCs w:val="22"/>
        </w:rPr>
        <w:t xml:space="preserve">To bypass teacher administrative overhead and keep leadership updated, a progress summary is generated as a PDF and automatically emailed to school principals. Principals and school groupings are identified by the school name and principal details provided by teachers during registration.</w:t>
      </w:r>
    </w:p>
    <w:p>
      <w:pPr>
        <w:pStyle w:val="ListParagraph"/>
        <w:numPr>
          <w:ilvl w:val="0"/>
          <w:numId w:val="1"/>
        </w:numPr>
        <w:spacing w:after="80" w:line="276"/>
      </w:pPr>
      <w:r>
        <w:rPr>
          <w:rFonts w:ascii="Calibri" w:cs="Calibri" w:eastAsia="Calibri" w:hAnsi="Calibri"/>
          <w:b/>
          <w:bCs/>
          <w:color w:val="000000"/>
          <w:sz w:val="22"/>
          <w:szCs w:val="22"/>
        </w:rPr>
        <w:t xml:space="preserve">Mandatory Principal Details on Signup: </w:t>
      </w:r>
      <w:r>
        <w:rPr>
          <w:rFonts w:ascii="Calibri" w:cs="Calibri" w:eastAsia="Calibri" w:hAnsi="Calibri"/>
          <w:color w:val="000000"/>
          <w:sz w:val="22"/>
          <w:szCs w:val="22"/>
        </w:rPr>
        <w:t xml:space="preserve">The teacher registration/signup form requires School Name, Principal Name, and Principal Email so email reports can be automated.</w:t>
      </w:r>
    </w:p>
    <w:p>
      <w:pPr>
        <w:pStyle w:val="Heading1"/>
        <w:spacing w:after="120" w:before="260"/>
      </w:pPr>
      <w:r>
        <w:rPr>
          <w:rFonts w:ascii="Calibri" w:cs="Calibri" w:eastAsia="Calibri" w:hAnsi="Calibri"/>
          <w:b/>
          <w:bCs/>
          <w:color w:val="000000"/>
        </w:rPr>
        <w:t xml:space="preserve">3. Project Scope Table (v1.1 Proposal)</w:t>
      </w:r>
    </w:p>
    <w:tbl>
      <w:tblPr>
        <w:tblW w:type="dxa" w:w="9000"/>
        <w:tblBorders>
          <w:top w:val="single" w:color="D9DEDA" w:sz="4"/>
          <w:left w:val="single" w:color="D9DEDA" w:sz="4"/>
          <w:bottom w:val="single" w:color="D9DEDA" w:sz="4"/>
          <w:right w:val="single" w:color="D9DEDA" w:sz="4"/>
          <w:insideH w:val="single" w:color="D9DEDA" w:sz="4"/>
          <w:insideV w:val="single" w:color="D9DEDA" w:sz="4"/>
        </w:tblBorders>
      </w:tblPr>
      <w:tblGrid>
        <w:gridCol w:w="2400"/>
        <w:gridCol w:w="3300"/>
        <w:gridCol w:w="3300"/>
      </w:tblGrid>
      <w:tr>
        <w:trPr>
          <w:tblHeader/>
        </w:trPr>
        <w:tc>
          <w:tcPr>
            <w:tcW w:type="dxa" w:w="2400"/>
            <w:shd w:fill="FFD400" w:color="auto" w:val="clear"/>
            <w:tcMar>
              <w:top w:type="dxa" w:w="80"/>
              <w:left w:type="dxa" w:w="120"/>
              <w:bottom w:type="dxa" w:w="80"/>
              <w:right w:type="dxa" w:w="120"/>
            </w:tcMar>
          </w:tcPr>
          <w:p>
            <w:r>
              <w:rPr>
                <w:rFonts w:ascii="Calibri" w:cs="Calibri" w:eastAsia="Calibri" w:hAnsi="Calibri"/>
                <w:b/>
                <w:bCs/>
                <w:color w:val="000000"/>
                <w:sz w:val="20"/>
                <w:szCs w:val="20"/>
              </w:rPr>
              <w:t xml:space="preserve">Feature / Component</w:t>
            </w:r>
          </w:p>
        </w:tc>
        <w:tc>
          <w:tcPr>
            <w:tcW w:type="dxa" w:w="3300"/>
            <w:shd w:fill="FFD400" w:color="auto" w:val="clear"/>
            <w:tcMar>
              <w:top w:type="dxa" w:w="80"/>
              <w:left w:type="dxa" w:w="120"/>
              <w:bottom w:type="dxa" w:w="80"/>
              <w:right w:type="dxa" w:w="120"/>
            </w:tcMar>
          </w:tcPr>
          <w:p>
            <w:r>
              <w:rPr>
                <w:rFonts w:ascii="Calibri" w:cs="Calibri" w:eastAsia="Calibri" w:hAnsi="Calibri"/>
                <w:b/>
                <w:bCs/>
                <w:color w:val="000000"/>
                <w:sz w:val="20"/>
                <w:szCs w:val="20"/>
              </w:rPr>
              <w:t xml:space="preserve">Current State</w:t>
            </w:r>
          </w:p>
        </w:tc>
        <w:tc>
          <w:tcPr>
            <w:tcW w:type="dxa" w:w="3300"/>
            <w:shd w:fill="FFD400" w:color="auto" w:val="clear"/>
            <w:tcMar>
              <w:top w:type="dxa" w:w="80"/>
              <w:left w:type="dxa" w:w="120"/>
              <w:bottom w:type="dxa" w:w="80"/>
              <w:right w:type="dxa" w:w="120"/>
            </w:tcMar>
          </w:tcPr>
          <w:p>
            <w:r>
              <w:rPr>
                <w:rFonts w:ascii="Calibri" w:cs="Calibri" w:eastAsia="Calibri" w:hAnsi="Calibri"/>
                <w:b/>
                <w:bCs/>
                <w:color w:val="000000"/>
                <w:sz w:val="20"/>
                <w:szCs w:val="20"/>
              </w:rPr>
              <w:t xml:space="preserve">Target Scope (Proposed)</w:t>
            </w:r>
          </w:p>
        </w:tc>
      </w:tr>
      <w:tr>
        <w:tc>
          <w:tcPr>
            <w:tcW w:type="dxa" w:w="2400"/>
            <w:shd w:fill="FFF8CC" w:color="auto" w:val="clear"/>
            <w:tcMar>
              <w:top w:type="dxa" w:w="80"/>
              <w:left w:type="dxa" w:w="120"/>
              <w:bottom w:type="dxa" w:w="80"/>
              <w:right w:type="dxa" w:w="120"/>
            </w:tcMar>
          </w:tcPr>
          <w:p>
            <w:r>
              <w:rPr>
                <w:rFonts w:ascii="Calibri" w:cs="Calibri" w:eastAsia="Calibri" w:hAnsi="Calibri"/>
                <w:b/>
                <w:bCs/>
                <w:color w:val="000000"/>
                <w:sz w:val="20"/>
                <w:szCs w:val="20"/>
              </w:rPr>
              <w:t xml:space="preserve">Pronunciation Helper</w:t>
            </w:r>
          </w:p>
        </w:tc>
        <w:tc>
          <w:tcPr>
            <w:tcW w:type="dxa" w:w="3300"/>
            <w:tcMar>
              <w:top w:type="dxa" w:w="80"/>
              <w:left w:type="dxa" w:w="120"/>
              <w:bottom w:type="dxa" w:w="80"/>
              <w:right w:type="dxa" w:w="120"/>
            </w:tcMar>
          </w:tcPr>
          <w:p>
            <w:r>
              <w:rPr>
                <w:rFonts w:ascii="Calibri" w:cs="Calibri" w:eastAsia="Calibri" w:hAnsi="Calibri"/>
                <w:b w:val="false"/>
                <w:bCs w:val="false"/>
                <w:color w:val="000000"/>
                <w:sz w:val="20"/>
                <w:szCs w:val="20"/>
              </w:rPr>
              <w:t xml:space="preserve">Vector animations of mouth shapes &amp; airflow maps.</w:t>
            </w:r>
          </w:p>
        </w:tc>
        <w:tc>
          <w:tcPr>
            <w:tcW w:type="dxa" w:w="3300"/>
            <w:tcMar>
              <w:top w:type="dxa" w:w="80"/>
              <w:left w:type="dxa" w:w="120"/>
              <w:bottom w:type="dxa" w:w="80"/>
              <w:right w:type="dxa" w:w="120"/>
            </w:tcMar>
          </w:tcPr>
          <w:p>
            <w:r>
              <w:rPr>
                <w:rFonts w:ascii="Calibri" w:cs="Calibri" w:eastAsia="Calibri" w:hAnsi="Calibri"/>
                <w:b w:val="false"/>
                <w:bCs w:val="false"/>
                <w:color w:val="000000"/>
                <w:sz w:val="20"/>
                <w:szCs w:val="20"/>
              </w:rPr>
              <w:t xml:space="preserve">Real-person mouth guides + Hindi phonetic breakdown text (e.g., चा-लें-जेज़).</w:t>
            </w:r>
          </w:p>
        </w:tc>
      </w:tr>
      <w:tr>
        <w:tc>
          <w:tcPr>
            <w:tcW w:type="dxa" w:w="2400"/>
            <w:shd w:fill="FFF8CC" w:color="auto" w:val="clear"/>
            <w:tcMar>
              <w:top w:type="dxa" w:w="80"/>
              <w:left w:type="dxa" w:w="120"/>
              <w:bottom w:type="dxa" w:w="80"/>
              <w:right w:type="dxa" w:w="120"/>
            </w:tcMar>
          </w:tcPr>
          <w:p>
            <w:r>
              <w:rPr>
                <w:rFonts w:ascii="Calibri" w:cs="Calibri" w:eastAsia="Calibri" w:hAnsi="Calibri"/>
                <w:b/>
                <w:bCs/>
                <w:color w:val="000000"/>
                <w:sz w:val="20"/>
                <w:szCs w:val="20"/>
              </w:rPr>
              <w:t xml:space="preserve">Teacher Interface</w:t>
            </w:r>
          </w:p>
        </w:tc>
        <w:tc>
          <w:tcPr>
            <w:tcW w:type="dxa" w:w="3300"/>
            <w:tcMar>
              <w:top w:type="dxa" w:w="80"/>
              <w:left w:type="dxa" w:w="120"/>
              <w:bottom w:type="dxa" w:w="80"/>
              <w:right w:type="dxa" w:w="120"/>
            </w:tcMar>
          </w:tcPr>
          <w:p>
            <w:r>
              <w:rPr>
                <w:rFonts w:ascii="Calibri" w:cs="Calibri" w:eastAsia="Calibri" w:hAnsi="Calibri"/>
                <w:b w:val="false"/>
                <w:bCs w:val="false"/>
                <w:color w:val="000000"/>
                <w:sz w:val="20"/>
                <w:szCs w:val="20"/>
              </w:rPr>
              <w:t xml:space="preserve">Complex, data-heavy dashboard tracking student stats.</w:t>
            </w:r>
          </w:p>
        </w:tc>
        <w:tc>
          <w:tcPr>
            <w:tcW w:type="dxa" w:w="3300"/>
            <w:tcMar>
              <w:top w:type="dxa" w:w="80"/>
              <w:left w:type="dxa" w:w="120"/>
              <w:bottom w:type="dxa" w:w="80"/>
              <w:right w:type="dxa" w:w="120"/>
            </w:tcMar>
          </w:tcPr>
          <w:p>
            <w:r>
              <w:rPr>
                <w:rFonts w:ascii="Calibri" w:cs="Calibri" w:eastAsia="Calibri" w:hAnsi="Calibri"/>
                <w:b w:val="false"/>
                <w:bCs w:val="false"/>
                <w:color w:val="000000"/>
                <w:sz w:val="20"/>
                <w:szCs w:val="20"/>
              </w:rPr>
              <w:t xml:space="preserve">Simplified interface backed by an onboarding video walkthrough.</w:t>
            </w:r>
          </w:p>
        </w:tc>
      </w:tr>
      <w:tr>
        <w:tc>
          <w:tcPr>
            <w:tcW w:type="dxa" w:w="2400"/>
            <w:shd w:fill="FFF8CC" w:color="auto" w:val="clear"/>
            <w:tcMar>
              <w:top w:type="dxa" w:w="80"/>
              <w:left w:type="dxa" w:w="120"/>
              <w:bottom w:type="dxa" w:w="80"/>
              <w:right w:type="dxa" w:w="120"/>
            </w:tcMar>
          </w:tcPr>
          <w:p>
            <w:r>
              <w:rPr>
                <w:rFonts w:ascii="Calibri" w:cs="Calibri" w:eastAsia="Calibri" w:hAnsi="Calibri"/>
                <w:b/>
                <w:bCs/>
                <w:color w:val="000000"/>
                <w:sz w:val="20"/>
                <w:szCs w:val="20"/>
              </w:rPr>
              <w:t xml:space="preserve">Principal Reporting</w:t>
            </w:r>
          </w:p>
        </w:tc>
        <w:tc>
          <w:tcPr>
            <w:tcW w:type="dxa" w:w="3300"/>
            <w:tcMar>
              <w:top w:type="dxa" w:w="80"/>
              <w:left w:type="dxa" w:w="120"/>
              <w:bottom w:type="dxa" w:w="80"/>
              <w:right w:type="dxa" w:w="120"/>
            </w:tcMar>
          </w:tcPr>
          <w:p>
            <w:r>
              <w:rPr>
                <w:rFonts w:ascii="Calibri" w:cs="Calibri" w:eastAsia="Calibri" w:hAnsi="Calibri"/>
                <w:b w:val="false"/>
                <w:bCs w:val="false"/>
                <w:color w:val="000000"/>
                <w:sz w:val="20"/>
                <w:szCs w:val="20"/>
              </w:rPr>
              <w:t xml:space="preserve">None. Manual database checking required.</w:t>
            </w:r>
          </w:p>
        </w:tc>
        <w:tc>
          <w:tcPr>
            <w:tcW w:type="dxa" w:w="3300"/>
            <w:tcMar>
              <w:top w:type="dxa" w:w="80"/>
              <w:left w:type="dxa" w:w="120"/>
              <w:bottom w:type="dxa" w:w="80"/>
              <w:right w:type="dxa" w:w="120"/>
            </w:tcMar>
          </w:tcPr>
          <w:p>
            <w:r>
              <w:rPr>
                <w:rFonts w:ascii="Calibri" w:cs="Calibri" w:eastAsia="Calibri" w:hAnsi="Calibri"/>
                <w:b w:val="false"/>
                <w:bCs w:val="false"/>
                <w:color w:val="000000"/>
                <w:sz w:val="20"/>
                <w:szCs w:val="20"/>
              </w:rPr>
              <w:t xml:space="preserve">Automated PDF report summarizing school and class progress, dispatched via email (nodemailer + node-cron).</w:t>
            </w:r>
          </w:p>
        </w:tc>
      </w:tr>
      <w:tr>
        <w:tc>
          <w:tcPr>
            <w:tcW w:type="dxa" w:w="2400"/>
            <w:shd w:fill="FFF8CC" w:color="auto" w:val="clear"/>
            <w:tcMar>
              <w:top w:type="dxa" w:w="80"/>
              <w:left w:type="dxa" w:w="120"/>
              <w:bottom w:type="dxa" w:w="80"/>
              <w:right w:type="dxa" w:w="120"/>
            </w:tcMar>
          </w:tcPr>
          <w:p>
            <w:r>
              <w:rPr>
                <w:rFonts w:ascii="Calibri" w:cs="Calibri" w:eastAsia="Calibri" w:hAnsi="Calibri"/>
                <w:b/>
                <w:bCs/>
                <w:color w:val="000000"/>
                <w:sz w:val="20"/>
                <w:szCs w:val="20"/>
              </w:rPr>
              <w:t xml:space="preserve">School &amp; Principal Registration</w:t>
            </w:r>
          </w:p>
        </w:tc>
        <w:tc>
          <w:tcPr>
            <w:tcW w:type="dxa" w:w="3300"/>
            <w:tcMar>
              <w:top w:type="dxa" w:w="80"/>
              <w:left w:type="dxa" w:w="120"/>
              <w:bottom w:type="dxa" w:w="80"/>
              <w:right w:type="dxa" w:w="120"/>
            </w:tcMar>
          </w:tcPr>
          <w:p>
            <w:r>
              <w:rPr>
                <w:rFonts w:ascii="Calibri" w:cs="Calibri" w:eastAsia="Calibri" w:hAnsi="Calibri"/>
                <w:b w:val="false"/>
                <w:bCs w:val="false"/>
                <w:color w:val="000000"/>
                <w:sz w:val="20"/>
                <w:szCs w:val="20"/>
              </w:rPr>
              <w:t xml:space="preserve">Teacher registers via email &amp; password without school metadata.</w:t>
            </w:r>
          </w:p>
        </w:tc>
        <w:tc>
          <w:tcPr>
            <w:tcW w:type="dxa" w:w="3300"/>
            <w:tcMar>
              <w:top w:type="dxa" w:w="80"/>
              <w:left w:type="dxa" w:w="120"/>
              <w:bottom w:type="dxa" w:w="80"/>
              <w:right w:type="dxa" w:w="120"/>
            </w:tcMar>
          </w:tcPr>
          <w:p>
            <w:r>
              <w:rPr>
                <w:rFonts w:ascii="Calibri" w:cs="Calibri" w:eastAsia="Calibri" w:hAnsi="Calibri"/>
                <w:b w:val="false"/>
                <w:bCs w:val="false"/>
                <w:color w:val="000000"/>
                <w:sz w:val="20"/>
                <w:szCs w:val="20"/>
              </w:rPr>
              <w:t xml:space="preserve">Mandatory 'School Name', 'Principal Name', and 'Principal Email' fields to group students and route reports.</w:t>
            </w:r>
          </w:p>
        </w:tc>
      </w:tr>
    </w:tbl>
    <w:p>
      <w:r>
        <w:br w:type="page"/>
      </w:r>
    </w:p>
    <w:p>
      <w:pPr>
        <w:pStyle w:val="Heading1"/>
        <w:spacing w:after="120" w:before="260"/>
      </w:pPr>
      <w:r>
        <w:rPr>
          <w:rFonts w:ascii="Calibri" w:cs="Calibri" w:eastAsia="Calibri" w:hAnsi="Calibri"/>
          <w:b/>
          <w:bCs/>
          <w:color w:val="000000"/>
        </w:rPr>
        <w:t xml:space="preserve">4. Implementation Status — Features Delivered</w:t>
      </w:r>
    </w:p>
    <w:p>
      <w:pPr>
        <w:spacing w:after="120" w:line="276"/>
      </w:pPr>
      <w:r>
        <w:rPr>
          <w:rFonts w:ascii="Calibri" w:cs="Calibri" w:eastAsia="Calibri" w:hAnsi="Calibri"/>
          <w:color w:val="000000"/>
          <w:sz w:val="22"/>
          <w:szCs w:val="22"/>
        </w:rPr>
        <w:t xml:space="preserve">The following table records the features implemented and now frozen. </w:t>
      </w:r>
      <w:r>
        <w:rPr>
          <w:rFonts w:ascii="Calibri" w:cs="Calibri" w:eastAsia="Calibri" w:hAnsi="Calibri"/>
          <w:b/>
          <w:bCs/>
          <w:color w:val="000000"/>
          <w:sz w:val="22"/>
          <w:szCs w:val="22"/>
        </w:rPr>
        <w:t xml:space="preserve">Every item below is complete and verified in the running application.</w:t>
      </w:r>
    </w:p>
    <w:tbl>
      <w:tblPr>
        <w:tblW w:type="dxa" w:w="9000"/>
        <w:tblBorders>
          <w:top w:val="single" w:color="D9DEDA" w:sz="4"/>
          <w:left w:val="single" w:color="D9DEDA" w:sz="4"/>
          <w:bottom w:val="single" w:color="D9DEDA" w:sz="4"/>
          <w:right w:val="single" w:color="D9DEDA" w:sz="4"/>
          <w:insideH w:val="single" w:color="D9DEDA" w:sz="4"/>
          <w:insideV w:val="single" w:color="D9DEDA" w:sz="4"/>
        </w:tblBorders>
      </w:tblPr>
      <w:tblGrid>
        <w:gridCol w:w="2500"/>
        <w:gridCol w:w="1500"/>
        <w:gridCol w:w="5000"/>
      </w:tblGrid>
      <w:tr>
        <w:trPr>
          <w:tblHeader/>
        </w:trPr>
        <w:tc>
          <w:tcPr>
            <w:tcW w:type="dxa" w:w="2500"/>
            <w:shd w:fill="FFD400" w:color="auto" w:val="clear"/>
            <w:tcMar>
              <w:top w:type="dxa" w:w="80"/>
              <w:left w:type="dxa" w:w="120"/>
              <w:bottom w:type="dxa" w:w="80"/>
              <w:right w:type="dxa" w:w="120"/>
            </w:tcMar>
          </w:tcPr>
          <w:p>
            <w:r>
              <w:rPr>
                <w:rFonts w:ascii="Calibri" w:cs="Calibri" w:eastAsia="Calibri" w:hAnsi="Calibri"/>
                <w:b/>
                <w:bCs/>
                <w:color w:val="000000"/>
                <w:sz w:val="20"/>
                <w:szCs w:val="20"/>
              </w:rPr>
              <w:t xml:space="preserve">Feature</w:t>
            </w:r>
          </w:p>
        </w:tc>
        <w:tc>
          <w:tcPr>
            <w:tcW w:type="dxa" w:w="1500"/>
            <w:shd w:fill="FFD400" w:color="auto" w:val="clear"/>
            <w:tcMar>
              <w:top w:type="dxa" w:w="80"/>
              <w:left w:type="dxa" w:w="120"/>
              <w:bottom w:type="dxa" w:w="80"/>
              <w:right w:type="dxa" w:w="120"/>
            </w:tcMar>
          </w:tcPr>
          <w:p>
            <w:r>
              <w:rPr>
                <w:rFonts w:ascii="Calibri" w:cs="Calibri" w:eastAsia="Calibri" w:hAnsi="Calibri"/>
                <w:b/>
                <w:bCs/>
                <w:color w:val="000000"/>
                <w:sz w:val="20"/>
                <w:szCs w:val="20"/>
              </w:rPr>
              <w:t xml:space="preserve">Status</w:t>
            </w:r>
          </w:p>
        </w:tc>
        <w:tc>
          <w:tcPr>
            <w:tcW w:type="dxa" w:w="5000"/>
            <w:shd w:fill="FFD400" w:color="auto" w:val="clear"/>
            <w:tcMar>
              <w:top w:type="dxa" w:w="80"/>
              <w:left w:type="dxa" w:w="120"/>
              <w:bottom w:type="dxa" w:w="80"/>
              <w:right w:type="dxa" w:w="120"/>
            </w:tcMar>
          </w:tcPr>
          <w:p>
            <w:r>
              <w:rPr>
                <w:rFonts w:ascii="Calibri" w:cs="Calibri" w:eastAsia="Calibri" w:hAnsi="Calibri"/>
                <w:b/>
                <w:bCs/>
                <w:color w:val="000000"/>
                <w:sz w:val="20"/>
                <w:szCs w:val="20"/>
              </w:rPr>
              <w:t xml:space="preserve">What was delivered</w:t>
            </w:r>
          </w:p>
        </w:tc>
      </w:tr>
      <w:tr>
        <w:tc>
          <w:tcPr>
            <w:tcW w:type="dxa" w:w="2500"/>
            <w:shd w:fill="FFF8CC" w:color="auto" w:val="clear"/>
            <w:tcMar>
              <w:top w:type="dxa" w:w="80"/>
              <w:left w:type="dxa" w:w="120"/>
              <w:bottom w:type="dxa" w:w="80"/>
              <w:right w:type="dxa" w:w="120"/>
            </w:tcMar>
          </w:tcPr>
          <w:p>
            <w:r>
              <w:rPr>
                <w:rFonts w:ascii="Calibri" w:cs="Calibri" w:eastAsia="Calibri" w:hAnsi="Calibri"/>
                <w:b/>
                <w:bCs/>
                <w:color w:val="000000"/>
                <w:sz w:val="20"/>
                <w:szCs w:val="20"/>
              </w:rPr>
              <w:t xml:space="preserve">Pronunciation helper</w:t>
            </w:r>
          </w:p>
        </w:tc>
        <w:tc>
          <w:tcPr>
            <w:tcW w:type="dxa" w:w="1500"/>
            <w:tcMar>
              <w:top w:type="dxa" w:w="80"/>
              <w:left w:type="dxa" w:w="120"/>
              <w:bottom w:type="dxa" w:w="80"/>
              <w:right w:type="dxa" w:w="120"/>
            </w:tcMar>
          </w:tcPr>
          <w:p>
            <w:r>
              <w:rPr>
                <w:rFonts w:ascii="Calibri" w:cs="Calibri" w:eastAsia="Calibri" w:hAnsi="Calibri"/>
                <w:b/>
                <w:bCs/>
                <w:color w:val="9A7A00"/>
                <w:sz w:val="20"/>
                <w:szCs w:val="20"/>
              </w:rPr>
              <w:t xml:space="preserve">Delivered</w:t>
            </w:r>
          </w:p>
        </w:tc>
        <w:tc>
          <w:tcPr>
            <w:tcW w:type="dxa" w:w="5000"/>
            <w:tcMar>
              <w:top w:type="dxa" w:w="80"/>
              <w:left w:type="dxa" w:w="120"/>
              <w:bottom w:type="dxa" w:w="80"/>
              <w:right w:type="dxa" w:w="120"/>
            </w:tcMar>
          </w:tcPr>
          <w:p>
            <w:r>
              <w:rPr>
                <w:rFonts w:ascii="Calibri" w:cs="Calibri" w:eastAsia="Calibri" w:hAnsi="Calibri"/>
                <w:b w:val="false"/>
                <w:bCs w:val="false"/>
                <w:color w:val="000000"/>
                <w:sz w:val="20"/>
                <w:szCs w:val="20"/>
              </w:rPr>
              <w:t xml:space="preserve">Removed the mouth/airflow vector animation. Added an in-app helper that plays correct Indian-English (en-IN) audio for any word, with a Normal / Slow speed toggle and one-tap sample words. Normal speaking speed was slightly slowed for clarity. Hindi phonetic breakdown retained.</w:t>
            </w:r>
          </w:p>
        </w:tc>
      </w:tr>
      <w:tr>
        <w:tc>
          <w:tcPr>
            <w:tcW w:type="dxa" w:w="2500"/>
            <w:shd w:fill="FFF8CC" w:color="auto" w:val="clear"/>
            <w:tcMar>
              <w:top w:type="dxa" w:w="80"/>
              <w:left w:type="dxa" w:w="120"/>
              <w:bottom w:type="dxa" w:w="80"/>
              <w:right w:type="dxa" w:w="120"/>
            </w:tcMar>
          </w:tcPr>
          <w:p>
            <w:r>
              <w:rPr>
                <w:rFonts w:ascii="Calibri" w:cs="Calibri" w:eastAsia="Calibri" w:hAnsi="Calibri"/>
                <w:b/>
                <w:bCs/>
                <w:color w:val="000000"/>
                <w:sz w:val="20"/>
                <w:szCs w:val="20"/>
              </w:rPr>
              <w:t xml:space="preserve">Platform guide video</w:t>
            </w:r>
          </w:p>
        </w:tc>
        <w:tc>
          <w:tcPr>
            <w:tcW w:type="dxa" w:w="1500"/>
            <w:tcMar>
              <w:top w:type="dxa" w:w="80"/>
              <w:left w:type="dxa" w:w="120"/>
              <w:bottom w:type="dxa" w:w="80"/>
              <w:right w:type="dxa" w:w="120"/>
            </w:tcMar>
          </w:tcPr>
          <w:p>
            <w:r>
              <w:rPr>
                <w:rFonts w:ascii="Calibri" w:cs="Calibri" w:eastAsia="Calibri" w:hAnsi="Calibri"/>
                <w:b/>
                <w:bCs/>
                <w:color w:val="9A7A00"/>
                <w:sz w:val="20"/>
                <w:szCs w:val="20"/>
              </w:rPr>
              <w:t xml:space="preserve">Delivered</w:t>
            </w:r>
          </w:p>
        </w:tc>
        <w:tc>
          <w:tcPr>
            <w:tcW w:type="dxa" w:w="5000"/>
            <w:tcMar>
              <w:top w:type="dxa" w:w="80"/>
              <w:left w:type="dxa" w:w="120"/>
              <w:bottom w:type="dxa" w:w="80"/>
              <w:right w:type="dxa" w:w="120"/>
            </w:tcMar>
          </w:tcPr>
          <w:p>
            <w:r>
              <w:rPr>
                <w:rFonts w:ascii="Calibri" w:cs="Calibri" w:eastAsia="Calibri" w:hAnsi="Calibri"/>
                <w:b w:val="false"/>
                <w:bCs w:val="false"/>
                <w:color w:val="000000"/>
                <w:sz w:val="20"/>
                <w:szCs w:val="20"/>
              </w:rPr>
              <w:t xml:space="preserve">A produced step-by-step walkthrough video that auto-plays on registration (teacher &amp; student onboarding) and reopens anytime via an info (ⓘ) button on the teacher dashboard.</w:t>
            </w:r>
          </w:p>
        </w:tc>
      </w:tr>
      <w:tr>
        <w:tc>
          <w:tcPr>
            <w:tcW w:type="dxa" w:w="2500"/>
            <w:shd w:fill="FFF8CC" w:color="auto" w:val="clear"/>
            <w:tcMar>
              <w:top w:type="dxa" w:w="80"/>
              <w:left w:type="dxa" w:w="120"/>
              <w:bottom w:type="dxa" w:w="80"/>
              <w:right w:type="dxa" w:w="120"/>
            </w:tcMar>
          </w:tcPr>
          <w:p>
            <w:r>
              <w:rPr>
                <w:rFonts w:ascii="Calibri" w:cs="Calibri" w:eastAsia="Calibri" w:hAnsi="Calibri"/>
                <w:b/>
                <w:bCs/>
                <w:color w:val="000000"/>
                <w:sz w:val="20"/>
                <w:szCs w:val="20"/>
              </w:rPr>
              <w:t xml:space="preserve">Automated principal report</w:t>
            </w:r>
          </w:p>
        </w:tc>
        <w:tc>
          <w:tcPr>
            <w:tcW w:type="dxa" w:w="1500"/>
            <w:tcMar>
              <w:top w:type="dxa" w:w="80"/>
              <w:left w:type="dxa" w:w="120"/>
              <w:bottom w:type="dxa" w:w="80"/>
              <w:right w:type="dxa" w:w="120"/>
            </w:tcMar>
          </w:tcPr>
          <w:p>
            <w:r>
              <w:rPr>
                <w:rFonts w:ascii="Calibri" w:cs="Calibri" w:eastAsia="Calibri" w:hAnsi="Calibri"/>
                <w:b/>
                <w:bCs/>
                <w:color w:val="9A7A00"/>
                <w:sz w:val="20"/>
                <w:szCs w:val="20"/>
              </w:rPr>
              <w:t xml:space="preserve">Delivered</w:t>
            </w:r>
          </w:p>
        </w:tc>
        <w:tc>
          <w:tcPr>
            <w:tcW w:type="dxa" w:w="5000"/>
            <w:tcMar>
              <w:top w:type="dxa" w:w="80"/>
              <w:left w:type="dxa" w:w="120"/>
              <w:bottom w:type="dxa" w:w="80"/>
              <w:right w:type="dxa" w:w="120"/>
            </w:tcMar>
          </w:tcPr>
          <w:p>
            <w:r>
              <w:rPr>
                <w:rFonts w:ascii="Calibri" w:cs="Calibri" w:eastAsia="Calibri" w:hAnsi="Calibri"/>
                <w:b w:val="false"/>
                <w:bCs w:val="false"/>
                <w:color w:val="000000"/>
                <w:sz w:val="20"/>
                <w:szCs w:val="20"/>
              </w:rPr>
              <w:t xml:space="preserve">A compiled PDF progress report per school — class averages, per-student participation, cohort strengths, and weak phonemes. Generated with a Python/ReportLab pipeline and emailed to the principal (CC teacher) via nodemailer, scheduled weekly by node-cron (Mondays 06:00).</w:t>
            </w:r>
          </w:p>
        </w:tc>
      </w:tr>
      <w:tr>
        <w:tc>
          <w:tcPr>
            <w:tcW w:type="dxa" w:w="2500"/>
            <w:shd w:fill="FFF8CC" w:color="auto" w:val="clear"/>
            <w:tcMar>
              <w:top w:type="dxa" w:w="80"/>
              <w:left w:type="dxa" w:w="120"/>
              <w:bottom w:type="dxa" w:w="80"/>
              <w:right w:type="dxa" w:w="120"/>
            </w:tcMar>
          </w:tcPr>
          <w:p>
            <w:r>
              <w:rPr>
                <w:rFonts w:ascii="Calibri" w:cs="Calibri" w:eastAsia="Calibri" w:hAnsi="Calibri"/>
                <w:b/>
                <w:bCs/>
                <w:color w:val="000000"/>
                <w:sz w:val="20"/>
                <w:szCs w:val="20"/>
              </w:rPr>
              <w:t xml:space="preserve">On-demand report button</w:t>
            </w:r>
          </w:p>
        </w:tc>
        <w:tc>
          <w:tcPr>
            <w:tcW w:type="dxa" w:w="1500"/>
            <w:tcMar>
              <w:top w:type="dxa" w:w="80"/>
              <w:left w:type="dxa" w:w="120"/>
              <w:bottom w:type="dxa" w:w="80"/>
              <w:right w:type="dxa" w:w="120"/>
            </w:tcMar>
          </w:tcPr>
          <w:p>
            <w:r>
              <w:rPr>
                <w:rFonts w:ascii="Calibri" w:cs="Calibri" w:eastAsia="Calibri" w:hAnsi="Calibri"/>
                <w:b/>
                <w:bCs/>
                <w:color w:val="9A7A00"/>
                <w:sz w:val="20"/>
                <w:szCs w:val="20"/>
              </w:rPr>
              <w:t xml:space="preserve">Delivered</w:t>
            </w:r>
          </w:p>
        </w:tc>
        <w:tc>
          <w:tcPr>
            <w:tcW w:type="dxa" w:w="5000"/>
            <w:tcMar>
              <w:top w:type="dxa" w:w="80"/>
              <w:left w:type="dxa" w:w="120"/>
              <w:bottom w:type="dxa" w:w="80"/>
              <w:right w:type="dxa" w:w="120"/>
            </w:tcMar>
          </w:tcPr>
          <w:p>
            <w:r>
              <w:rPr>
                <w:rFonts w:ascii="Calibri" w:cs="Calibri" w:eastAsia="Calibri" w:hAnsi="Calibri"/>
                <w:b w:val="false"/>
                <w:bCs w:val="false"/>
                <w:color w:val="000000"/>
                <w:sz w:val="20"/>
                <w:szCs w:val="20"/>
              </w:rPr>
              <w:t xml:space="preserve">An “Email Principal Report” button on the teacher dashboard lets a teacher send the compiled report to their principal instantly, with success/failure feedback.</w:t>
            </w:r>
          </w:p>
        </w:tc>
      </w:tr>
      <w:tr>
        <w:tc>
          <w:tcPr>
            <w:tcW w:type="dxa" w:w="2500"/>
            <w:shd w:fill="FFF8CC" w:color="auto" w:val="clear"/>
            <w:tcMar>
              <w:top w:type="dxa" w:w="80"/>
              <w:left w:type="dxa" w:w="120"/>
              <w:bottom w:type="dxa" w:w="80"/>
              <w:right w:type="dxa" w:w="120"/>
            </w:tcMar>
          </w:tcPr>
          <w:p>
            <w:r>
              <w:rPr>
                <w:rFonts w:ascii="Calibri" w:cs="Calibri" w:eastAsia="Calibri" w:hAnsi="Calibri"/>
                <w:b/>
                <w:bCs/>
                <w:color w:val="000000"/>
                <w:sz w:val="20"/>
                <w:szCs w:val="20"/>
              </w:rPr>
              <w:t xml:space="preserve">Student reminder emails removed</w:t>
            </w:r>
          </w:p>
        </w:tc>
        <w:tc>
          <w:tcPr>
            <w:tcW w:type="dxa" w:w="1500"/>
            <w:tcMar>
              <w:top w:type="dxa" w:w="80"/>
              <w:left w:type="dxa" w:w="120"/>
              <w:bottom w:type="dxa" w:w="80"/>
              <w:right w:type="dxa" w:w="120"/>
            </w:tcMar>
          </w:tcPr>
          <w:p>
            <w:r>
              <w:rPr>
                <w:rFonts w:ascii="Calibri" w:cs="Calibri" w:eastAsia="Calibri" w:hAnsi="Calibri"/>
                <w:b/>
                <w:bCs/>
                <w:color w:val="9A7A00"/>
                <w:sz w:val="20"/>
                <w:szCs w:val="20"/>
              </w:rPr>
              <w:t xml:space="preserve">Delivered</w:t>
            </w:r>
          </w:p>
        </w:tc>
        <w:tc>
          <w:tcPr>
            <w:tcW w:type="dxa" w:w="5000"/>
            <w:tcMar>
              <w:top w:type="dxa" w:w="80"/>
              <w:left w:type="dxa" w:w="120"/>
              <w:bottom w:type="dxa" w:w="80"/>
              <w:right w:type="dxa" w:w="120"/>
            </w:tcMar>
          </w:tcPr>
          <w:p>
            <w:r>
              <w:rPr>
                <w:rFonts w:ascii="Calibri" w:cs="Calibri" w:eastAsia="Calibri" w:hAnsi="Calibri"/>
                <w:b w:val="false"/>
                <w:bCs w:val="false"/>
                <w:color w:val="000000"/>
                <w:sz w:val="20"/>
                <w:szCs w:val="20"/>
              </w:rPr>
              <w:t xml:space="preserve">The recurring “take the assessment” reminder emails were switched off in favour of the compiled principal report.</w:t>
            </w:r>
          </w:p>
        </w:tc>
      </w:tr>
      <w:tr>
        <w:tc>
          <w:tcPr>
            <w:tcW w:type="dxa" w:w="2500"/>
            <w:shd w:fill="FFF8CC" w:color="auto" w:val="clear"/>
            <w:tcMar>
              <w:top w:type="dxa" w:w="80"/>
              <w:left w:type="dxa" w:w="120"/>
              <w:bottom w:type="dxa" w:w="80"/>
              <w:right w:type="dxa" w:w="120"/>
            </w:tcMar>
          </w:tcPr>
          <w:p>
            <w:r>
              <w:rPr>
                <w:rFonts w:ascii="Calibri" w:cs="Calibri" w:eastAsia="Calibri" w:hAnsi="Calibri"/>
                <w:b/>
                <w:bCs/>
                <w:color w:val="000000"/>
                <w:sz w:val="20"/>
                <w:szCs w:val="20"/>
              </w:rPr>
              <w:t xml:space="preserve">School &amp; principal registration</w:t>
            </w:r>
          </w:p>
        </w:tc>
        <w:tc>
          <w:tcPr>
            <w:tcW w:type="dxa" w:w="1500"/>
            <w:tcMar>
              <w:top w:type="dxa" w:w="80"/>
              <w:left w:type="dxa" w:w="120"/>
              <w:bottom w:type="dxa" w:w="80"/>
              <w:right w:type="dxa" w:w="120"/>
            </w:tcMar>
          </w:tcPr>
          <w:p>
            <w:r>
              <w:rPr>
                <w:rFonts w:ascii="Calibri" w:cs="Calibri" w:eastAsia="Calibri" w:hAnsi="Calibri"/>
                <w:b/>
                <w:bCs/>
                <w:color w:val="9A7A00"/>
                <w:sz w:val="20"/>
                <w:szCs w:val="20"/>
              </w:rPr>
              <w:t xml:space="preserve">Delivered</w:t>
            </w:r>
          </w:p>
        </w:tc>
        <w:tc>
          <w:tcPr>
            <w:tcW w:type="dxa" w:w="5000"/>
            <w:tcMar>
              <w:top w:type="dxa" w:w="80"/>
              <w:left w:type="dxa" w:w="120"/>
              <w:bottom w:type="dxa" w:w="80"/>
              <w:right w:type="dxa" w:w="120"/>
            </w:tcMar>
          </w:tcPr>
          <w:p>
            <w:r>
              <w:rPr>
                <w:rFonts w:ascii="Calibri" w:cs="Calibri" w:eastAsia="Calibri" w:hAnsi="Calibri"/>
                <w:b w:val="false"/>
                <w:bCs w:val="false"/>
                <w:color w:val="000000"/>
                <w:sz w:val="20"/>
                <w:szCs w:val="20"/>
              </w:rPr>
              <w:t xml:space="preserve">Teacher signup captures School Name, Principal Name, and Principal Email; these route the automated and on-demand reports.</w:t>
            </w:r>
          </w:p>
        </w:tc>
      </w:tr>
      <w:tr>
        <w:tc>
          <w:tcPr>
            <w:tcW w:type="dxa" w:w="2500"/>
            <w:shd w:fill="FFF8CC" w:color="auto" w:val="clear"/>
            <w:tcMar>
              <w:top w:type="dxa" w:w="80"/>
              <w:left w:type="dxa" w:w="120"/>
              <w:bottom w:type="dxa" w:w="80"/>
              <w:right w:type="dxa" w:w="120"/>
            </w:tcMar>
          </w:tcPr>
          <w:p>
            <w:r>
              <w:rPr>
                <w:rFonts w:ascii="Calibri" w:cs="Calibri" w:eastAsia="Calibri" w:hAnsi="Calibri"/>
                <w:b/>
                <w:bCs/>
                <w:color w:val="000000"/>
                <w:sz w:val="20"/>
                <w:szCs w:val="20"/>
              </w:rPr>
              <w:t xml:space="preserve">Infrastructure</w:t>
            </w:r>
          </w:p>
        </w:tc>
        <w:tc>
          <w:tcPr>
            <w:tcW w:type="dxa" w:w="1500"/>
            <w:tcMar>
              <w:top w:type="dxa" w:w="80"/>
              <w:left w:type="dxa" w:w="120"/>
              <w:bottom w:type="dxa" w:w="80"/>
              <w:right w:type="dxa" w:w="120"/>
            </w:tcMar>
          </w:tcPr>
          <w:p>
            <w:r>
              <w:rPr>
                <w:rFonts w:ascii="Calibri" w:cs="Calibri" w:eastAsia="Calibri" w:hAnsi="Calibri"/>
                <w:b/>
                <w:bCs/>
                <w:color w:val="9A7A00"/>
                <w:sz w:val="20"/>
                <w:szCs w:val="20"/>
              </w:rPr>
              <w:t xml:space="preserve">Delivered</w:t>
            </w:r>
          </w:p>
        </w:tc>
        <w:tc>
          <w:tcPr>
            <w:tcW w:type="dxa" w:w="5000"/>
            <w:tcMar>
              <w:top w:type="dxa" w:w="80"/>
              <w:left w:type="dxa" w:w="120"/>
              <w:bottom w:type="dxa" w:w="80"/>
              <w:right w:type="dxa" w:w="120"/>
            </w:tcMar>
          </w:tcPr>
          <w:p>
            <w:r>
              <w:rPr>
                <w:rFonts w:ascii="Calibri" w:cs="Calibri" w:eastAsia="Calibri" w:hAnsi="Calibri"/>
                <w:b w:val="false"/>
                <w:bCs w:val="false"/>
                <w:color w:val="000000"/>
                <w:sz w:val="20"/>
                <w:szCs w:val="20"/>
              </w:rPr>
              <w:t xml:space="preserve">Migrated the database connection from Prisma Accelerate to a direct Postgres (Neon) connection via a driver adapter; schema synced and connection verified.</w:t>
            </w:r>
          </w:p>
        </w:tc>
      </w:tr>
      <w:tr>
        <w:tc>
          <w:tcPr>
            <w:tcW w:type="dxa" w:w="2500"/>
            <w:shd w:fill="FFF8CC" w:color="auto" w:val="clear"/>
            <w:tcMar>
              <w:top w:type="dxa" w:w="80"/>
              <w:left w:type="dxa" w:w="120"/>
              <w:bottom w:type="dxa" w:w="80"/>
              <w:right w:type="dxa" w:w="120"/>
            </w:tcMar>
          </w:tcPr>
          <w:p>
            <w:r>
              <w:rPr>
                <w:rFonts w:ascii="Calibri" w:cs="Calibri" w:eastAsia="Calibri" w:hAnsi="Calibri"/>
                <w:b/>
                <w:bCs/>
                <w:color w:val="000000"/>
                <w:sz w:val="20"/>
                <w:szCs w:val="20"/>
              </w:rPr>
              <w:t xml:space="preserve">Pilot seed accounts</w:t>
            </w:r>
          </w:p>
        </w:tc>
        <w:tc>
          <w:tcPr>
            <w:tcW w:type="dxa" w:w="1500"/>
            <w:tcMar>
              <w:top w:type="dxa" w:w="80"/>
              <w:left w:type="dxa" w:w="120"/>
              <w:bottom w:type="dxa" w:w="80"/>
              <w:right w:type="dxa" w:w="120"/>
            </w:tcMar>
          </w:tcPr>
          <w:p>
            <w:r>
              <w:rPr>
                <w:rFonts w:ascii="Calibri" w:cs="Calibri" w:eastAsia="Calibri" w:hAnsi="Calibri"/>
                <w:b/>
                <w:bCs/>
                <w:color w:val="9A7A00"/>
                <w:sz w:val="20"/>
                <w:szCs w:val="20"/>
              </w:rPr>
              <w:t xml:space="preserve">Delivered</w:t>
            </w:r>
          </w:p>
        </w:tc>
        <w:tc>
          <w:tcPr>
            <w:tcW w:type="dxa" w:w="5000"/>
            <w:tcMar>
              <w:top w:type="dxa" w:w="80"/>
              <w:left w:type="dxa" w:w="120"/>
              <w:bottom w:type="dxa" w:w="80"/>
              <w:right w:type="dxa" w:w="120"/>
            </w:tcMar>
          </w:tcPr>
          <w:p>
            <w:r>
              <w:rPr>
                <w:rFonts w:ascii="Calibri" w:cs="Calibri" w:eastAsia="Calibri" w:hAnsi="Calibri"/>
                <w:b w:val="false"/>
                <w:bCs w:val="false"/>
                <w:color w:val="000000"/>
                <w:sz w:val="20"/>
                <w:szCs w:val="20"/>
              </w:rPr>
              <w:t xml:space="preserve">A demo teacher account and two student accounts were created for pilot testing and verified end-to-end.</w:t>
            </w:r>
          </w:p>
        </w:tc>
      </w:tr>
    </w:tbl>
    <w:p>
      <w:pPr>
        <w:pStyle w:val="Heading2"/>
        <w:spacing w:after="120" w:before="260"/>
      </w:pPr>
      <w:r>
        <w:rPr>
          <w:rFonts w:ascii="Calibri" w:cs="Calibri" w:eastAsia="Calibri" w:hAnsi="Calibri"/>
          <w:b/>
          <w:bCs/>
          <w:color w:val="9A7A00"/>
        </w:rPr>
        <w:t xml:space="preserve">4.1 Notes &amp; Refinements During Delivery</w:t>
      </w:r>
    </w:p>
    <w:p>
      <w:pPr>
        <w:spacing w:after="120" w:line="276"/>
      </w:pPr>
      <w:r>
        <w:rPr>
          <w:rFonts w:ascii="Calibri" w:cs="Calibri" w:eastAsia="Calibri" w:hAnsi="Calibri"/>
          <w:color w:val="000000"/>
          <w:sz w:val="22"/>
          <w:szCs w:val="22"/>
        </w:rPr>
        <w:t xml:space="preserve">The final build refines a few points from the v1.1 proposal, agreed during implementation:</w:t>
      </w:r>
    </w:p>
    <w:p>
      <w:pPr>
        <w:pStyle w:val="ListParagraph"/>
        <w:numPr>
          <w:ilvl w:val="0"/>
          <w:numId w:val="1"/>
        </w:numPr>
        <w:spacing w:after="80" w:line="276"/>
      </w:pPr>
      <w:r>
        <w:rPr>
          <w:rFonts w:ascii="Calibri" w:cs="Calibri" w:eastAsia="Calibri" w:hAnsi="Calibri"/>
          <w:b/>
          <w:bCs/>
          <w:color w:val="000000"/>
          <w:sz w:val="22"/>
          <w:szCs w:val="22"/>
        </w:rPr>
        <w:t xml:space="preserve">Pronunciation guidance: </w:t>
      </w:r>
      <w:r>
        <w:rPr>
          <w:rFonts w:ascii="Calibri" w:cs="Calibri" w:eastAsia="Calibri" w:hAnsi="Calibri"/>
          <w:color w:val="000000"/>
          <w:sz w:val="22"/>
          <w:szCs w:val="22"/>
        </w:rPr>
        <w:t xml:space="preserve">delivered as in-app Indian-English audio (Normal/Slow) plus a produced guide video, rather than external YouTube links — keeping guidance offline-friendly, consistent, and inside the app.</w:t>
      </w:r>
    </w:p>
    <w:p>
      <w:pPr>
        <w:pStyle w:val="ListParagraph"/>
        <w:numPr>
          <w:ilvl w:val="0"/>
          <w:numId w:val="1"/>
        </w:numPr>
        <w:spacing w:after="80" w:line="276"/>
      </w:pPr>
      <w:r>
        <w:rPr>
          <w:rFonts w:ascii="Calibri" w:cs="Calibri" w:eastAsia="Calibri" w:hAnsi="Calibri"/>
          <w:b/>
          <w:bCs/>
          <w:color w:val="000000"/>
          <w:sz w:val="22"/>
          <w:szCs w:val="22"/>
        </w:rPr>
        <w:t xml:space="preserve">Reporting cadence: </w:t>
      </w:r>
      <w:r>
        <w:rPr>
          <w:rFonts w:ascii="Calibri" w:cs="Calibri" w:eastAsia="Calibri" w:hAnsi="Calibri"/>
          <w:color w:val="000000"/>
          <w:sz w:val="22"/>
          <w:szCs w:val="22"/>
        </w:rPr>
        <w:t xml:space="preserve">principal reports run weekly (Monday mornings) instead of monthly, giving school leadership more timely visibility during the pilot.</w:t>
      </w:r>
    </w:p>
    <w:p>
      <w:pPr>
        <w:pStyle w:val="ListParagraph"/>
        <w:numPr>
          <w:ilvl w:val="0"/>
          <w:numId w:val="1"/>
        </w:numPr>
        <w:spacing w:after="80" w:line="276"/>
      </w:pPr>
      <w:r>
        <w:rPr>
          <w:rFonts w:ascii="Calibri" w:cs="Calibri" w:eastAsia="Calibri" w:hAnsi="Calibri"/>
          <w:b/>
          <w:bCs/>
          <w:color w:val="000000"/>
          <w:sz w:val="22"/>
          <w:szCs w:val="22"/>
        </w:rPr>
        <w:t xml:space="preserve">Teacher interface: </w:t>
      </w:r>
      <w:r>
        <w:rPr>
          <w:rFonts w:ascii="Calibri" w:cs="Calibri" w:eastAsia="Calibri" w:hAnsi="Calibri"/>
          <w:color w:val="000000"/>
          <w:sz w:val="22"/>
          <w:szCs w:val="22"/>
        </w:rPr>
        <w:t xml:space="preserve">the class view was retained and simplified, with automated reporting and the guide video added on top, rather than removing the interface entirely.</w:t>
      </w:r>
    </w:p>
    <w:p>
      <w:pPr>
        <w:pBdr>
          <w:bottom w:val="single" w:color="FFD400" w:sz="6" w:space="1"/>
        </w:pBdr>
        <w:spacing w:after="160" w:before="120"/>
      </w:pPr>
      <w:r>
        <w:t xml:space="preserve"/>
      </w:r>
    </w:p>
    <w:p>
      <w:pPr>
        <w:pBdr>
          <w:top w:val="single" w:color="FFD400" w:sz="6"/>
          <w:bottom w:val="single" w:color="FFD400" w:sz="6"/>
          <w:left w:val="single" w:color="FFD400" w:sz="6"/>
          <w:right w:val="single" w:color="FFD400" w:sz="6"/>
        </w:pBdr>
        <w:shd w:fill="FFF8CC" w:color="auto" w:val="clear"/>
        <w:spacing w:after="120" w:before="120"/>
      </w:pPr>
      <w:r>
        <w:rPr>
          <w:rFonts w:ascii="Calibri" w:cs="Calibri" w:eastAsia="Calibri" w:hAnsi="Calibri"/>
          <w:b/>
          <w:bCs/>
          <w:color w:val="9A7A00"/>
          <w:sz w:val="22"/>
          <w:szCs w:val="22"/>
        </w:rPr>
        <w:t xml:space="preserve">Scope Freeze. </w:t>
      </w:r>
      <w:r>
        <w:rPr>
          <w:rFonts w:ascii="Calibri" w:cs="Calibri" w:eastAsia="Calibri" w:hAnsi="Calibri"/>
          <w:color w:val="000000"/>
          <w:sz w:val="22"/>
          <w:szCs w:val="22"/>
        </w:rPr>
        <w:t xml:space="preserve">This document establishes the final agreement on the project scope. All features listed in Section 4 are implemented and delivered. No more features, modifications, or scope additions will be introduced after this version. All parties commit to this frozen set of requirements for the pilot phase to ensure timely delivery and testing.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2026-08-13T05:35:09.703Z</dcterms:created>
  <dcterms:modified xsi:type="dcterms:W3CDTF">2026-08-13T05:35:09.707Z</dcterms:modified>
</cp:coreProperties>
</file>

<file path=docProps/custom.xml><?xml version="1.0" encoding="utf-8"?>
<Properties xmlns="http://schemas.openxmlformats.org/officeDocument/2006/custom-properties" xmlns:vt="http://schemas.openxmlformats.org/officeDocument/2006/docPropsVTypes"/>
</file>