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c>
          <w:tcPr>
            <w:tcW w:type="dxa" w:w="4508"/>
          </w:tcPr>
          <w:p>
            <w:r>
              <w:t>Team Members</w:t>
            </w:r>
          </w:p>
        </w:tc>
        <w:tc>
          <w:tcPr>
            <w:tcW w:type="dxa" w:w="4843"/>
          </w:tcPr>
          <w:p>
            <w:r>
              <w:t>Navyasri Meruga (Team Lead), Megha Sai Vardhan Chodavarapu, Mohammad Nasreen, Santosh Kakani, Gudavalli Sumanth</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India's Agricultural Crop Production Analysis (1997–2021)</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Farmer (Dashboard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Filter Data</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As a farmer, I can filter the dashboard by state, crop, season and year range.</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Filters update all charts and KPIs instantly</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 farmer, I can view the best-performing crops for my state and season.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I can see a ranked list of crops by yield</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As a farmer, I can view seasonal production trend charts.</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Chart updates based on selected filters</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As a farmer, I can view the yearly production trend for my region.</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t>Policy Analyst</w:t>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Identify Weak Areas</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As a policy analyst, I can view the lowest-yield states and weak state-crop pairs.</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t>Table lists bottom N states/crops by yield</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Investor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Data Engineer</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