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60" w:before="0"/>
        <w:jc w:val="center"/>
      </w:pPr>
      <w:r>
        <w:rPr>
          <w:rFonts w:ascii="Arial" w:cs="Arial" w:eastAsia="Arial" w:hAnsi="Arial"/>
          <w:b/>
          <w:bCs/>
          <w:color w:val="FFFFFF"/>
          <w:sz w:val="44"/>
          <w:szCs w:val="44"/>
        </w:rPr>
        <w:t xml:space="preserve">CLIENT DISCOVERY QUESTIONS</w:t>
      </w:r>
    </w:p>
    <w:p>
      <w:pPr>
        <w:shd w:fill="2E75B6" w:val="clear"/>
        <w:spacing w:after="60" w:before="0"/>
        <w:jc w:val="center"/>
      </w:pPr>
      <w:r>
        <w:rPr>
          <w:rFonts w:ascii="Arial" w:cs="Arial" w:eastAsia="Arial" w:hAnsi="Arial"/>
          <w:color w:val="FFFFFF"/>
          <w:sz w:val="26"/>
          <w:szCs w:val="26"/>
        </w:rPr>
        <w:t xml:space="preserve">Indegene – Next Patient Recruitment (NPR) Platform Enhancement</w:t>
      </w:r>
    </w:p>
    <w:p>
      <w:pPr>
        <w:shd w:fill="D6E4F0" w:val="clear"/>
        <w:spacing w:after="240" w:before="0"/>
        <w:jc w:val="center"/>
      </w:pPr>
      <w:r>
        <w:rPr>
          <w:rFonts w:ascii="Arial" w:cs="Arial" w:eastAsia="Arial" w:hAnsi="Arial"/>
          <w:i/>
          <w:iCs/>
          <w:color w:val="1F4E79"/>
          <w:sz w:val="20"/>
          <w:szCs w:val="20"/>
        </w:rPr>
        <w:t xml:space="preserve">Prepared by: ABHIJITH M K Team  |  Meeting Date: 14 May 2026  |  Total Questions: 20</w:t>
      </w:r>
    </w:p>
    <w:p>
      <w:pPr>
        <w:pBdr>
          <w:bottom w:val="single" w:color="2E75B6" w:sz="6" w:space="1"/>
        </w:pBdr>
        <w:spacing w:after="120" w:before="280"/>
      </w:pPr>
      <w:r>
        <w:rPr>
          <w:rFonts w:ascii="Arial" w:cs="Arial" w:eastAsia="Arial" w:hAnsi="Arial"/>
          <w:b/>
          <w:bCs/>
          <w:color w:val="1F4E79"/>
          <w:sz w:val="24"/>
          <w:szCs w:val="24"/>
        </w:rPr>
        <w:t xml:space="preserve">Background &amp; Context</w:t>
      </w:r>
    </w:p>
    <w:p>
      <w:pPr>
        <w:spacing w:after="60" w:before="60"/>
      </w:pPr>
      <w:r>
        <w:rPr>
          <w:rFonts w:ascii="Arial" w:cs="Arial" w:eastAsia="Arial" w:hAnsi="Arial"/>
          <w:color w:val="333333"/>
          <w:sz w:val="22"/>
          <w:szCs w:val="22"/>
        </w:rPr>
        <w:t xml:space="preserve">Following the introductory discovery call held on 14 May 2026, Indegene's team (Sundaresh Nanjundappa, Muhammad Suhail, Mohammed Haneef Assadi) presented their clinical trial patient recruitment platform — NPR (Next Patient Recruitment), built on Salesforce Life Science Cloud + Amazon Connect. The following 20 questions are structured around the three funnel stages discussed (Top, Mid, Bottom) and additional technical/AI workstreams, to gather the information needed for solution architecture and wireframe preparation.</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36"/>
        <w:gridCol w:w="2736"/>
        <w:gridCol w:w="2736"/>
        <w:gridCol w:w="2736"/>
        <w:gridCol w:w="2736"/>
      </w:tblGrid>
      <w:tr>
        <w:tc>
          <w:tcPr>
            <w:tcW w:type="dxa" w:w="2736"/>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center"/>
            </w:pPr>
            <w:r>
              <w:rPr>
                <w:rFonts w:ascii="Arial" w:cs="Arial" w:eastAsia="Arial" w:hAnsi="Arial"/>
                <w:b/>
                <w:bCs/>
                <w:color w:val="1F4E79"/>
                <w:sz w:val="28"/>
                <w:szCs w:val="28"/>
              </w:rPr>
              <w:t xml:space="preserve">5 Questions</w:t>
            </w:r>
          </w:p>
          <w:p>
            <w:pPr>
              <w:jc w:val="center"/>
            </w:pPr>
            <w:r>
              <w:rPr>
                <w:rFonts w:ascii="Arial" w:cs="Arial" w:eastAsia="Arial" w:hAnsi="Arial"/>
                <w:color w:val="555555"/>
                <w:sz w:val="18"/>
                <w:szCs w:val="18"/>
              </w:rPr>
              <w:t xml:space="preserve">Top of Funnel</w:t>
            </w:r>
          </w:p>
        </w:tc>
        <w:tc>
          <w:tcPr>
            <w:tcW w:type="dxa" w:w="2736"/>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center"/>
            </w:pPr>
            <w:r>
              <w:rPr>
                <w:rFonts w:ascii="Arial" w:cs="Arial" w:eastAsia="Arial" w:hAnsi="Arial"/>
                <w:b/>
                <w:bCs/>
                <w:color w:val="1F4E79"/>
                <w:sz w:val="28"/>
                <w:szCs w:val="28"/>
              </w:rPr>
              <w:t xml:space="preserve">5 Questions</w:t>
            </w:r>
          </w:p>
          <w:p>
            <w:pPr>
              <w:jc w:val="center"/>
            </w:pPr>
            <w:r>
              <w:rPr>
                <w:rFonts w:ascii="Arial" w:cs="Arial" w:eastAsia="Arial" w:hAnsi="Arial"/>
                <w:color w:val="555555"/>
                <w:sz w:val="18"/>
                <w:szCs w:val="18"/>
              </w:rPr>
              <w:t xml:space="preserve">Mid Funnel</w:t>
            </w:r>
          </w:p>
        </w:tc>
        <w:tc>
          <w:tcPr>
            <w:tcW w:type="dxa" w:w="2736"/>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center"/>
            </w:pPr>
            <w:r>
              <w:rPr>
                <w:rFonts w:ascii="Arial" w:cs="Arial" w:eastAsia="Arial" w:hAnsi="Arial"/>
                <w:b/>
                <w:bCs/>
                <w:color w:val="1F4E79"/>
                <w:sz w:val="28"/>
                <w:szCs w:val="28"/>
              </w:rPr>
              <w:t xml:space="preserve">4 Questions</w:t>
            </w:r>
          </w:p>
          <w:p>
            <w:pPr>
              <w:jc w:val="center"/>
            </w:pPr>
            <w:r>
              <w:rPr>
                <w:rFonts w:ascii="Arial" w:cs="Arial" w:eastAsia="Arial" w:hAnsi="Arial"/>
                <w:color w:val="555555"/>
                <w:sz w:val="18"/>
                <w:szCs w:val="18"/>
              </w:rPr>
              <w:t xml:space="preserve">Bottom of Funnel</w:t>
            </w:r>
          </w:p>
        </w:tc>
        <w:tc>
          <w:tcPr>
            <w:tcW w:type="dxa" w:w="2736"/>
            <w:tcBorders>
              <w:top w:val="single" w:color="CCCCCC" w:sz="1"/>
              <w:left w:val="single" w:color="CCCCCC" w:sz="1"/>
              <w:bottom w:val="single" w:color="CCCCCC" w:sz="1"/>
              <w:right w:val="single" w:color="CCCCCC" w:sz="1"/>
            </w:tcBorders>
            <w:shd w:fill="F9EBEA" w:val="clear"/>
            <w:tcMar>
              <w:top w:type="dxa" w:w="100"/>
              <w:left w:type="dxa" w:w="120"/>
              <w:bottom w:type="dxa" w:w="100"/>
              <w:right w:type="dxa" w:w="120"/>
            </w:tcMar>
          </w:tcPr>
          <w:p>
            <w:pPr>
              <w:jc w:val="center"/>
            </w:pPr>
            <w:r>
              <w:rPr>
                <w:rFonts w:ascii="Arial" w:cs="Arial" w:eastAsia="Arial" w:hAnsi="Arial"/>
                <w:b/>
                <w:bCs/>
                <w:color w:val="1F4E79"/>
                <w:sz w:val="28"/>
                <w:szCs w:val="28"/>
              </w:rPr>
              <w:t xml:space="preserve">3 Questions</w:t>
            </w:r>
          </w:p>
          <w:p>
            <w:pPr>
              <w:jc w:val="center"/>
            </w:pPr>
            <w:r>
              <w:rPr>
                <w:rFonts w:ascii="Arial" w:cs="Arial" w:eastAsia="Arial" w:hAnsi="Arial"/>
                <w:color w:val="555555"/>
                <w:sz w:val="18"/>
                <w:szCs w:val="18"/>
              </w:rPr>
              <w:t xml:space="preserve">Data &amp; AI</w:t>
            </w:r>
          </w:p>
        </w:tc>
        <w:tc>
          <w:tcPr>
            <w:tcW w:type="dxa" w:w="2736"/>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jc w:val="center"/>
            </w:pPr>
            <w:r>
              <w:rPr>
                <w:rFonts w:ascii="Arial" w:cs="Arial" w:eastAsia="Arial" w:hAnsi="Arial"/>
                <w:b/>
                <w:bCs/>
                <w:color w:val="1F4E79"/>
                <w:sz w:val="28"/>
                <w:szCs w:val="28"/>
              </w:rPr>
              <w:t xml:space="preserve">3 Questions</w:t>
            </w:r>
          </w:p>
          <w:p>
            <w:pPr>
              <w:jc w:val="center"/>
            </w:pPr>
            <w:r>
              <w:rPr>
                <w:rFonts w:ascii="Arial" w:cs="Arial" w:eastAsia="Arial" w:hAnsi="Arial"/>
                <w:color w:val="555555"/>
                <w:sz w:val="18"/>
                <w:szCs w:val="18"/>
              </w:rPr>
              <w:t xml:space="preserve">KPIs &amp; Reporting</w:t>
            </w:r>
          </w:p>
        </w:tc>
      </w:tr>
    </w:tbl>
    <w:p>
      <w:pPr>
        <w:spacing w:after="80" w:before="80"/>
      </w:pPr>
      <w:r>
        <w:t xml:space="preserve"/>
      </w:r>
    </w:p>
    <w:p>
      <w:pPr>
        <w:pBdr>
          <w:bottom w:val="single" w:color="2E75B6" w:sz="6" w:space="1"/>
        </w:pBdr>
        <w:spacing w:after="120" w:before="280"/>
      </w:pPr>
      <w:r>
        <w:rPr>
          <w:rFonts w:ascii="Arial" w:cs="Arial" w:eastAsia="Arial" w:hAnsi="Arial"/>
          <w:b/>
          <w:bCs/>
          <w:color w:val="1F4E79"/>
          <w:sz w:val="24"/>
          <w:szCs w:val="24"/>
        </w:rPr>
        <w:t xml:space="preserve">Discovery Questions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500"/>
        <w:gridCol w:w="26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80"/>
            </w:tcMar>
          </w:tcPr>
          <w:p>
            <w:r>
              <w:rPr>
                <w:rFonts w:ascii="Arial" w:cs="Arial" w:eastAsia="Arial" w:hAnsi="Arial"/>
                <w:b/>
                <w:bCs/>
                <w:color w:val="FFFFFF"/>
                <w:sz w:val="22"/>
                <w:szCs w:val="22"/>
              </w:rPr>
              <w:t xml:space="preserve">#</w:t>
            </w:r>
          </w:p>
        </w:tc>
        <w:tc>
          <w:tcPr>
            <w:tcW w:type="dxa" w:w="17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80"/>
            </w:tcMar>
          </w:tcPr>
          <w:p>
            <w:r>
              <w:rPr>
                <w:rFonts w:ascii="Arial" w:cs="Arial" w:eastAsia="Arial" w:hAnsi="Arial"/>
                <w:b/>
                <w:bCs/>
                <w:color w:val="FFFFFF"/>
                <w:sz w:val="22"/>
                <w:szCs w:val="22"/>
              </w:rPr>
              <w:t xml:space="preserve">Category</w:t>
            </w:r>
          </w:p>
        </w:tc>
        <w:tc>
          <w:tcPr>
            <w:tcW w:type="dxa" w:w="45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80"/>
            </w:tcMar>
          </w:tcPr>
          <w:p>
            <w:r>
              <w:rPr>
                <w:rFonts w:ascii="Arial" w:cs="Arial" w:eastAsia="Arial" w:hAnsi="Arial"/>
                <w:b/>
                <w:bCs/>
                <w:color w:val="FFFFFF"/>
                <w:sz w:val="22"/>
                <w:szCs w:val="22"/>
              </w:rPr>
              <w:t xml:space="preserve">Question</w:t>
            </w:r>
          </w:p>
        </w:tc>
        <w:tc>
          <w:tcPr>
            <w:tcW w:type="dxa" w:w="266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80"/>
            </w:tcMar>
          </w:tcPr>
          <w:p>
            <w:r>
              <w:rPr>
                <w:rFonts w:ascii="Arial" w:cs="Arial" w:eastAsia="Arial" w:hAnsi="Arial"/>
                <w:b/>
                <w:bCs/>
                <w:color w:val="FFFFFF"/>
                <w:sz w:val="22"/>
                <w:szCs w:val="22"/>
              </w:rPr>
              <w:t xml:space="preserve">Why We Ask</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Top of Funnel – Analytics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Can you walk us through exactly how Google Analytics 4 data currently flows into Salesforce, and where specifically the integration breaks down?</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Identify root cause of the GA4-CRM disconnection to scope the integration fix.</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2</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Top of Funnel – Ad Spend</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For each channel (Google, Meta, EMR emails, HCP networks, satellite radio), how is Return on Ad Spend (ROAS) currently measured, and which channels have zero visibility today?</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Pinpoint which channels need ROAS tracking instrumentation first.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Top of Funnel – Regional Intel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What US regions or sub-markets have shown the lowest patient traction, and do you currently have any geospatial data on patient prevalence by condition and location?</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Determine if regional segmentation and heat-mapping are feasible with existing data.</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4</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Top of Funnel – DEI Criteria</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How are DEI (Diversity, Equity, Inclusion) criteria currently captured in your trial intake forms, and is ethnicity data stored in Salesforce Life Science Cloud today?</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Assess data readiness to build DEI-aware targeting and compliance reporting.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Top of Funnel – Channel Intelligence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Which channels have historically outperformed expectations (e.g., Meta over Google), and is that performance data logged at the campaign/ad-set level in any system?</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Understand what channel-level historical data exists to build a predictive spend model.</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6</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Mid Funnel – Communication Gaps</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When a patient clears the primary screener, what is the exact sequence of outreach attempts today — how many touches, over how many days, across which channels — before a lead is marked as lost?</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Map the current communication cadence to identify automation opportunities and dropout trigger points.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Mid Funnel – Multi-channel Outreach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Are SMS, WhatsApp, and voicemail channels currently active in your stack, or do they need to be set up from scratch? What consents are already collected from patients for each channel?</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Clarify what is build vs. configure work, and identify any consent/compliance blockers.</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8</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Mid Funnel – Amazon Connect</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What version/tier of Amazon Connect are you using, and is it currently integrated with Salesforce via a CTI adapter? What call data (recordings, transcripts, disposition codes) is being captured today?</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Assess the current telephony setup to plan AI voice agent and automation layers.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Mid Funnel – Nurse Workflow</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When a nurse logs into Salesforce today, what does her home screen show? How does she currently prioritize which patients to call, and how long does it typically take to find her next action?</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Understand nurse UX pain points to design a smart prioritized worklist and performance dashboard.</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10</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Mid Funnel – Sponsor &amp; CRO Access</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What does the current sponsor/CRO portal show them? Are they viewing live Salesforce data or scheduled exports, and what KPIs do they most frequently ask your team for manually?</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Define the gap between what sponsors can self-serve vs. what requires manual effort from your team.</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Bottom of Funnel – Site Scheduling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Is there any existing integration between your CRM and the clinical trial sites' scheduling systems, or is all appointment booking done manually via phone/email today?</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Determine feasibility of a Calendly-style auto-scheduling feature within the CRM.</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12</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Bottom of Funnel – Escalation Logic</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When a site coordinator fails to schedule a referred patient within the SLA window (e.g., 6 days), what is the current escalation process — is it manual, and who gets notified?</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Scope the automated red-flag and escalation notification feature.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Bottom of Funnel – Site Portal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The React-based site portal currently gives sites visibility into referred patients — what actions can site coordinators take from that portal today, and what key actions are missing?</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Identify site portal feature gaps to close the referral-to-appointment loop.</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14</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Bottom of Funnel – Patient Dropout</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At the bottom-of-funnel stage, what is the current average number of contact attempts made before a fully-qualified patient is marked as unreachable? Is there a defined process or is it ad hoc?</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Establish a baseline to measure improvement after AI voice agent and reminder automation is deployed.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Data &amp; Platform – Life Science Cloud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Which standard and custom objects in Salesforce Life Science Cloud are being used to track the patient journey today, and are there any objects or fields that are currently populated inconsistently or not at all?</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Identify data model gaps and cleaning requirements before building new features.</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16</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Data &amp; Platform – Validation</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You mentioned going through CSV validation of the platform — what is the validation scope, and what documentation (IQ, OQ, PQ) has already been completed vs. what is outstanding?</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Understand the regulatory compliance baseline before planning the development-UAT-production pipeline.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17</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Data &amp; Platform – Integrations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Beyond Amazon Connect and GA4, what other third-party systems (lab partners, EMR platforms, CRO systems) have active or planned API integrations with your Salesforce instance?</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Create a complete integration map to avoid conflicts and plan dependency management.</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18</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AI &amp; Automation – Voice Agent</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During off-hours and weekends, what volume of inbound patient calls or outreach attempts are currently missed, and what patient actions would you want an AI voice agent to handle autonomously vs. escalate to a nurse?</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Define the AI voice agent's scope and escalation rules to ensure compliance and patient safety.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19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555555"/>
                <w:sz w:val="20"/>
                <w:szCs w:val="20"/>
              </w:rPr>
              <w:t xml:space="preserve">AI &amp; Automation – Content Generation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111111"/>
                <w:sz w:val="22"/>
                <w:szCs w:val="22"/>
              </w:rPr>
              <w:t xml:space="preserve">For omni-channel campaign content (ad copy, email templates, patient education materials), what is the current creation workflow — how many people are involved, how long does it take per trial, and what compliance review is required?</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i/>
                <w:iCs/>
                <w:color w:val="555555"/>
                <w:sz w:val="20"/>
                <w:szCs w:val="20"/>
              </w:rPr>
              <w:t xml:space="preserve">Size the AI content automation opportunity and identify the human-in-the-loop checkpoints.</w:t>
            </w:r>
          </w:p>
        </w:tc>
      </w:tr>
      <w:tr>
        <w:tc>
          <w:tcPr>
            <w:tcW w:type="dxa" w:w="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pPr>
              <w:jc w:val="center"/>
            </w:pPr>
            <w:r>
              <w:rPr>
                <w:rFonts w:ascii="Arial" w:cs="Arial" w:eastAsia="Arial" w:hAnsi="Arial"/>
                <w:b/>
                <w:bCs/>
                <w:color w:val="1F4E79"/>
                <w:sz w:val="22"/>
                <w:szCs w:val="22"/>
              </w:rPr>
              <w:t xml:space="preserve">20</w:t>
            </w:r>
          </w:p>
        </w:tc>
        <w:tc>
          <w:tcPr>
            <w:tcW w:type="dxa" w:w="17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b/>
                <w:bCs/>
                <w:color w:val="555555"/>
                <w:sz w:val="20"/>
                <w:szCs w:val="20"/>
              </w:rPr>
              <w:t xml:space="preserve">Reporting &amp; KPIs</w:t>
            </w:r>
          </w:p>
        </w:tc>
        <w:tc>
          <w:tcPr>
            <w:tcW w:type="dxa" w:w="450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color w:val="111111"/>
                <w:sz w:val="22"/>
                <w:szCs w:val="22"/>
              </w:rPr>
              <w:t xml:space="preserve">What are the top 5 KPIs that your internal leadership, sponsors, and CROs each care about most, and which of these can currently only be extracted through manual Excel work?</w:t>
            </w:r>
          </w:p>
        </w:tc>
        <w:tc>
          <w:tcPr>
            <w:tcW w:type="dxa" w:w="2660"/>
            <w:tcBorders>
              <w:top w:val="single" w:color="CCCCCC" w:sz="1"/>
              <w:left w:val="single" w:color="CCCCCC" w:sz="1"/>
              <w:bottom w:val="single" w:color="CCCCCC" w:sz="1"/>
              <w:right w:val="single" w:color="CCCCCC" w:sz="1"/>
            </w:tcBorders>
            <w:shd w:fill="EAF3FB" w:val="clear"/>
            <w:tcMar>
              <w:top w:type="dxa" w:w="100"/>
              <w:left w:type="dxa" w:w="120"/>
              <w:bottom w:type="dxa" w:w="100"/>
              <w:right w:type="dxa" w:w="80"/>
            </w:tcMar>
          </w:tcPr>
          <w:p>
            <w:r>
              <w:rPr>
                <w:rFonts w:ascii="Arial" w:cs="Arial" w:eastAsia="Arial" w:hAnsi="Arial"/>
                <w:i/>
                <w:iCs/>
                <w:color w:val="555555"/>
                <w:sz w:val="20"/>
                <w:szCs w:val="20"/>
              </w:rPr>
              <w:t xml:space="preserve">Prioritize the dashboard and reporting module build to deliver maximum immediate value to all stakeholder groups.</w:t>
            </w:r>
          </w:p>
        </w:tc>
      </w:tr>
    </w:tbl>
    <w:p>
      <w:pPr>
        <w:spacing w:after="80" w:before="80"/>
      </w:pPr>
      <w:r>
        <w:t xml:space="preserve"/>
      </w:r>
    </w:p>
    <w:p>
      <w:pPr>
        <w:pBdr>
          <w:bottom w:val="single" w:color="2E75B6" w:sz="6" w:space="1"/>
        </w:pBdr>
        <w:spacing w:after="120" w:before="280"/>
      </w:pPr>
      <w:r>
        <w:rPr>
          <w:rFonts w:ascii="Arial" w:cs="Arial" w:eastAsia="Arial" w:hAnsi="Arial"/>
          <w:b/>
          <w:bCs/>
          <w:color w:val="1F4E79"/>
          <w:sz w:val="24"/>
          <w:szCs w:val="24"/>
        </w:rPr>
        <w:t xml:space="preserve">Recommended Next Steps</w:t>
      </w:r>
    </w:p>
    <w:p>
      <w:pPr>
        <w:spacing w:after="60" w:before="60"/>
      </w:pPr>
      <w:r>
        <w:rPr>
          <w:rFonts w:ascii="Arial" w:cs="Arial" w:eastAsia="Arial" w:hAnsi="Arial"/>
          <w:color w:val="333333"/>
          <w:sz w:val="22"/>
          <w:szCs w:val="22"/>
        </w:rPr>
        <w:t xml:space="preserve">1. Client shares NPR demo access and any existing gap documentation (Suhail to provide).</w:t>
      </w:r>
    </w:p>
    <w:p>
      <w:pPr>
        <w:spacing w:after="60" w:before="60"/>
      </w:pPr>
      <w:r>
        <w:rPr>
          <w:rFonts w:ascii="Arial" w:cs="Arial" w:eastAsia="Arial" w:hAnsi="Arial"/>
          <w:color w:val="333333"/>
          <w:sz w:val="22"/>
          <w:szCs w:val="22"/>
        </w:rPr>
        <w:t xml:space="preserve">2. Vendor onboarding: MSA + NDA initiated by Haneef; TPRM classification to follow.</w:t>
      </w:r>
    </w:p>
    <w:p>
      <w:pPr>
        <w:spacing w:after="60" w:before="60"/>
      </w:pPr>
      <w:r>
        <w:rPr>
          <w:rFonts w:ascii="Arial" w:cs="Arial" w:eastAsia="Arial" w:hAnsi="Arial"/>
          <w:color w:val="333333"/>
          <w:sz w:val="22"/>
          <w:szCs w:val="22"/>
        </w:rPr>
        <w:t xml:space="preserve">3. ABHIJITH M K team reviews answers to the 20 questions above and prepares solution wireframes for all three funnel stages.</w:t>
      </w:r>
    </w:p>
    <w:p>
      <w:pPr>
        <w:spacing w:after="60" w:before="60"/>
      </w:pPr>
      <w:r>
        <w:rPr>
          <w:rFonts w:ascii="Arial" w:cs="Arial" w:eastAsia="Arial" w:hAnsi="Arial"/>
          <w:color w:val="333333"/>
          <w:sz w:val="22"/>
          <w:szCs w:val="22"/>
        </w:rPr>
        <w:t xml:space="preserve">4. Next call: Joint wireframe/demo review session — Indegene showcases current NPR; vendor team presents proposed enhancements.</w:t>
      </w:r>
    </w:p>
    <w:p>
      <w:pPr>
        <w:spacing w:after="60" w:before="60"/>
      </w:pPr>
      <w:r>
        <w:rPr>
          <w:rFonts w:ascii="Arial" w:cs="Arial" w:eastAsia="Arial" w:hAnsi="Arial"/>
          <w:color w:val="333333"/>
          <w:sz w:val="22"/>
          <w:szCs w:val="22"/>
        </w:rPr>
        <w:t xml:space="preserve">5. Post-demo: Formal requirement document with user stories to be drafted before development scoping begins.</w:t>
      </w:r>
    </w:p>
    <w:p>
      <w:pPr>
        <w:spacing w:after="80" w:before="80"/>
      </w:pPr>
      <w:r>
        <w:t xml:space="preserve"/>
      </w:r>
    </w:p>
    <w:p>
      <w:pPr>
        <w:spacing w:after="0" w:before="200"/>
        <w:jc w:val="center"/>
      </w:pPr>
      <w:r>
        <w:rPr>
          <w:rFonts w:ascii="Arial" w:cs="Arial" w:eastAsia="Arial" w:hAnsi="Arial"/>
          <w:i/>
          <w:iCs/>
          <w:color w:val="888888"/>
          <w:sz w:val="18"/>
          <w:szCs w:val="18"/>
        </w:rPr>
        <w:t xml:space="preserve">CONFIDENTIAL – For internal use between Indegene and vendor team only</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2026-05-21T07:27:54.869Z</dcterms:created>
  <dcterms:modified xsi:type="dcterms:W3CDTF">2026-05-21T07:27:54.869Z</dcterms:modified>
</cp:coreProperties>
</file>

<file path=docProps/custom.xml><?xml version="1.0" encoding="utf-8"?>
<Properties xmlns="http://schemas.openxmlformats.org/officeDocument/2006/custom-properties" xmlns:vt="http://schemas.openxmlformats.org/officeDocument/2006/docPropsVTypes"/>
</file>