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«Автономное судовождение. Вводный курс»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ЗАДАНИЕ: Спланировать рейс полуавтономного судна.</w:t>
      </w:r>
    </w:p>
    <w:p>
      <w:pPr/>
      <w:r>
        <w:rPr/>
        <w:t xml:space="preserve">Компания-судовладелец получила заказ на перевозку бытовой техники и промышленных товаров из Китая и Индии в Санкт-Петербург</w:t>
      </w:r>
    </w:p>
    <w:p>
      <w:pPr/>
      <w:r>
        <w:rPr>
          <w:i w:val="1"/>
          <w:iCs w:val="1"/>
        </w:rPr>
        <w:t xml:space="preserve">1. Планирование маршрута.</w:t>
      </w:r>
    </w:p>
    <w:p>
      <w:pPr/>
      <w:r>
        <w:rPr/>
        <w:t xml:space="preserve">За 35 дней судно посетит 5 китайских портов: Ричжао, Ляньюньган, Шанхай, Нинбо -Чжоушань и Яньтянь и индийский порт Мундра через Суэцкий канал без трансшипмента (судозахода) в портах Европы. Проложите маршрут на карте (рисунок 1).</w:t>
      </w:r>
    </w:p>
    <w:p>
      <w:pPr/>
      <w:r>
        <w:rPr>
          <w:i w:val="1"/>
          <w:iCs w:val="1"/>
        </w:rPr>
        <w:t xml:space="preserve">2. Выбор судна:</w:t>
      </w:r>
    </w:p>
    <w:p>
      <w:pPr/>
      <w:r>
        <w:rPr/>
        <w:t xml:space="preserve">а. контейнеровоз</w:t>
      </w:r>
    </w:p>
    <w:p>
      <w:pPr/>
      <w:r>
        <w:rPr/>
        <w:t xml:space="preserve">б. балкер</w:t>
      </w:r>
    </w:p>
    <w:p>
      <w:pPr/>
      <w:r>
        <w:rPr/>
        <w:t xml:space="preserve">в. Лихтеровоз</w:t>
      </w:r>
    </w:p>
    <w:p>
      <w:pPr/>
      <w:r>
        <w:rPr/>
        <w:t xml:space="preserve">г. Ролкер</w:t>
      </w:r>
    </w:p>
    <w:p>
      <w:pPr/>
      <w:r>
        <w:rPr>
          <w:i w:val="1"/>
          <w:iCs w:val="1"/>
        </w:rPr>
        <w:t xml:space="preserve">3. Оборудование полуавтономного судна (дистанционно управляемое, уровня автономности А2)</w:t>
      </w:r>
    </w:p>
    <w:p>
      <w:pPr/>
      <w:r>
        <w:rPr/>
        <w:t xml:space="preserve">Выберите устройства, которыми необходимо дооснастить полуавтономное судно (рисунок 2):</w:t>
      </w:r>
    </w:p>
    <w:p>
      <w:pPr/>
      <w:r>
        <w:rPr/>
        <w:t xml:space="preserve">Выбор устройств:</w:t>
      </w:r>
    </w:p>
    <w:p>
      <w:pPr/>
      <w:r>
        <w:rPr/>
        <w:t xml:space="preserve">а. Спутниковый приемопередатчик</w:t>
      </w:r>
    </w:p>
    <w:p>
      <w:pPr/>
      <w:r>
        <w:rPr/>
        <w:t xml:space="preserve">б. Контроллеры управления рулями и двигателями</w:t>
      </w:r>
    </w:p>
    <w:p>
      <w:pPr/>
      <w:r>
        <w:rPr/>
        <w:t xml:space="preserve">в. Круговая система видеонаблюдения в трех диапазонах</w:t>
      </w:r>
    </w:p>
    <w:p>
      <w:pPr/>
      <w:r>
        <w:rPr/>
        <w:t xml:space="preserve">г. БИНС (бортовая инерционная система)</w:t>
      </w:r>
    </w:p>
    <w:p>
      <w:pPr/>
      <w:r>
        <w:rPr>
          <w:i w:val="1"/>
          <w:iCs w:val="1"/>
        </w:rPr>
        <w:t xml:space="preserve">4. Подбор экипажа</w:t>
      </w:r>
    </w:p>
    <w:p>
      <w:pPr/>
      <w:r>
        <w:rPr/>
        <w:t xml:space="preserve">Таблица 1 – Экипаж судна уровня автономности А2:</w:t>
      </w:r>
    </w:p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Экипаж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судно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берег</w:t>
            </w:r>
          </w:p>
        </w:tc>
      </w:tr>
      <w:tr>
        <w:trPr/>
        <w:tc>
          <w:tcPr/>
          <w:p>
            <w:pPr/>
            <w:r>
              <w:rPr/>
              <w:t xml:space="preserve">а. Штурман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б. Штурман в береговом ЦДУ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в. Инженер-судомеханик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г. Инженер-судомеханик в составе сервис-бригад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д. Судовой электрик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е. Судовой электрик в составе сервис-бригад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ж. Палубная команда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з. Палубная команда в составе сервис-бригад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>
          <w:i w:val="1"/>
          <w:iCs w:val="1"/>
        </w:rPr>
        <w:t xml:space="preserve">5. Процесс управления</w:t>
      </w:r>
    </w:p>
    <w:p>
      <w:pPr/>
      <w:r>
        <w:rPr/>
        <w:t xml:space="preserve">Выберите описание принципа управления полуавтономным судном:</w:t>
      </w:r>
    </w:p>
    <w:p>
      <w:pPr/>
      <w:r>
        <w:rPr/>
        <w:t xml:space="preserve">А. Данные от датчиков и камер передаются через антенну и спутник в береговой ЦДУ, обратно возвращается сигнал управления на рули и двигатели от оператора ЦДУ</w:t>
      </w:r>
    </w:p>
    <w:p>
      <w:pPr/>
      <w:r>
        <w:rPr/>
        <w:t xml:space="preserve">Б. Данные от датчиков и камер передаются через антенну и спутник в береговой ЦДУ и на бортовой сервер; Рулями и двигателями управляет ИИ, находящийся на бортовом сервере; При необходимости возможен перехват управления из ЦДУ оператором</w:t>
      </w:r>
    </w:p>
    <w:p>
      <w:pPr/>
      <w:r>
        <w:rPr>
          <w:i w:val="1"/>
          <w:iCs w:val="1"/>
        </w:rPr>
        <w:t xml:space="preserve">6. Аварийные ситуации</w:t>
      </w:r>
    </w:p>
    <w:p>
      <w:pPr/>
      <w:r>
        <w:rPr/>
        <w:t xml:space="preserve">Установите соответствие действий экипажа полуавтономного судна и процедур реагирования автоматики на общесудовые сигналы тревоги при аварийных ситуациях</w:t>
      </w:r>
    </w:p>
    <w:p>
      <w:pPr/>
      <w:r>
        <w:rPr/>
        <w:t xml:space="preserve">Таблица 2 – Действия экипажа и процедуры реагирования автоматики на общесудовые сигналы тревоги</w:t>
      </w:r>
    </w:p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 Общесудовые тревоги</w:t>
            </w:r>
          </w:p>
        </w:tc>
        <w:tc>
          <w:tcPr>
            <w:gridSpan w:val="2"/>
          </w:tcPr>
          <w:p>
            <w:pPr/>
            <w:r>
              <w:rPr>
                <w:b w:val="1"/>
                <w:bCs w:val="1"/>
              </w:rPr>
              <w:t xml:space="preserve">Последовательность действий</w:t>
            </w:r>
          </w:p>
        </w:tc>
      </w:t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экипаж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автоматика</w:t>
            </w:r>
          </w:p>
        </w:tc>
      </w:tr>
      <w:tr>
        <w:trPr/>
        <w:tc>
          <w:tcPr/>
          <w:p>
            <w:pPr/>
            <w:r>
              <w:rPr/>
              <w:t xml:space="preserve">А. при пожаре (взрыве)</w:t>
            </w:r>
          </w:p>
        </w:tc>
        <w:tc>
          <w:tcPr/>
          <w:p>
            <w:pPr/>
            <w:r>
              <w:rPr/>
              <w:t xml:space="preserve">1. Борьба с пожаром</w:t>
            </w:r>
          </w:p>
        </w:tc>
        <w:tc>
          <w:tcPr/>
          <w:p>
            <w:pPr/>
            <w:r>
              <w:rPr/>
              <w:t xml:space="preserve">1. оповещение ЦДУ, включение спецсигнала «Опасность на борту». Следование в направлении порта до особых распоряжений</w:t>
            </w:r>
          </w:p>
        </w:tc>
      </w:tr>
      <w:tr>
        <w:trPr/>
        <w:tc>
          <w:tcPr/>
          <w:p>
            <w:pPr/>
            <w:r>
              <w:rPr/>
              <w:t xml:space="preserve">Б. при пробоине</w:t>
            </w:r>
          </w:p>
        </w:tc>
        <w:tc>
          <w:tcPr/>
          <w:p>
            <w:pPr/>
            <w:r>
              <w:rPr/>
              <w:t xml:space="preserve">2. Спасание на водах</w:t>
            </w:r>
          </w:p>
        </w:tc>
        <w:tc>
          <w:tcPr/>
          <w:p>
            <w:pPr/>
            <w:r>
              <w:rPr/>
              <w:t xml:space="preserve">2. оповещение ЦДУ. Оператор ЦДУ вызывает мобильную группу оперативного реагирования или связывается с ближайшими судами</w:t>
            </w:r>
          </w:p>
        </w:tc>
      </w:tr>
      <w:tr>
        <w:trPr/>
        <w:tc>
          <w:tcPr/>
          <w:p>
            <w:pPr/>
            <w:r>
              <w:rPr/>
              <w:t xml:space="preserve">В. при возникновении возможности радиоактивного, химического или бактериологического заражения</w:t>
            </w:r>
          </w:p>
        </w:tc>
        <w:tc>
          <w:tcPr/>
          <w:p>
            <w:pPr/>
            <w:r>
              <w:rPr/>
              <w:t xml:space="preserve">3. Эвакуация</w:t>
            </w:r>
          </w:p>
        </w:tc>
        <w:tc>
          <w:tcPr/>
          <w:p>
            <w:pPr/>
            <w:r>
              <w:rPr/>
              <w:t xml:space="preserve">3. переход в аварийный режим с оповещением ЦДУ, включение автоматической системы пожаротушения. Оператор ЦДУ вызывает мобильную группу оперативного реагирования</w:t>
            </w:r>
          </w:p>
        </w:tc>
      </w:tr>
      <w:tr>
        <w:trPr/>
        <w:tc>
          <w:tcPr/>
          <w:p>
            <w:pPr/>
            <w:r>
              <w:rPr/>
              <w:t xml:space="preserve">С. тревога «Человек за бортом» – при обнаружении человека за бортом</w:t>
            </w:r>
          </w:p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4. Борьба с водой</w:t>
            </w:r>
          </w:p>
        </w:tc>
        <w:tc>
          <w:tcPr/>
          <w:p>
            <w:pPr/>
            <w:r>
              <w:rPr/>
              <w:t xml:space="preserve">4. переход в аварийный режим с оповещением ЦДУ, при наличии – включение автоматической системы перекрытия водонепроницаемых переборок.</w:t>
            </w:r>
          </w:p>
          <w:p>
            <w:pPr/>
            <w:r>
              <w:rPr/>
              <w:t xml:space="preserve">Оператор ЦДУ вызывает мобильную группу оперативного реагирования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 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Корректность определения базовых параметров рейса полуавтономного судна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	Ричжао, Ляньюньган, Шанхай, Нинбо -Чжоушань, Яньтянь, Мундра, Санкт- Петербург
2.	а
3.	а, б, в
4.	судно: а, в, д
берег: б, г, е, з
5.	А
6.	А-1-3; Б-4-4; В-3-1; С-2-2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ЗАДАНИЕ: Спланировать рейс автономного судна.</w:t>
      </w:r>
    </w:p>
    <w:p>
      <w:pPr/>
      <w:r>
        <w:rPr/>
        <w:t xml:space="preserve">Компания-судовладелец получила заказ на перевозку химических грузов и товаров, требующих температурного режима из порта Санкт-Петербург в китайский порт Шанхай.</w:t>
      </w:r>
    </w:p>
    <w:p>
      <w:pPr/>
      <w:r>
        <w:rPr>
          <w:i w:val="1"/>
          <w:iCs w:val="1"/>
        </w:rPr>
        <w:t xml:space="preserve">1. Планирование маршрута.</w:t>
      </w:r>
    </w:p>
    <w:p>
      <w:pPr/>
      <w:r>
        <w:rPr/>
        <w:t xml:space="preserve">Проложите маршрут на карте (рисунок 1).</w:t>
      </w:r>
      <w:r>
        <w:rPr>
          <w:i w:val="1"/>
          <w:iCs w:val="1"/>
        </w:rPr>
        <w:t xml:space="preserve"> </w:t>
      </w:r>
    </w:p>
    <w:p>
      <w:pPr/>
      <w:r>
        <w:rPr>
          <w:i w:val="1"/>
          <w:iCs w:val="1"/>
        </w:rPr>
        <w:t xml:space="preserve">2. Оборудование автономного судна (управляемое с помощью искусственного интеллекта, дистанционное управление – опционально)</w:t>
      </w:r>
    </w:p>
    <w:p>
      <w:pPr/>
      <w:r>
        <w:rPr/>
        <w:t xml:space="preserve">Выберите устройства, которыми необходимо дооснастить полуавтономное судно (рисунок 2):</w:t>
      </w:r>
    </w:p>
    <w:p>
      <w:pPr/>
      <w:r>
        <w:rPr/>
        <w:t xml:space="preserve">Выбор устройств:</w:t>
      </w:r>
    </w:p>
    <w:p>
      <w:pPr/>
      <w:r>
        <w:rPr/>
        <w:t xml:space="preserve">а. Радиолокационная станция (РЛС)</w:t>
      </w:r>
    </w:p>
    <w:p>
      <w:pPr/>
      <w:r>
        <w:rPr/>
        <w:t xml:space="preserve">б. Эхолот</w:t>
      </w:r>
    </w:p>
    <w:p>
      <w:pPr/>
      <w:r>
        <w:rPr/>
        <w:t xml:space="preserve">в. ИИ судна на сервере</w:t>
      </w:r>
    </w:p>
    <w:p>
      <w:pPr/>
      <w:r>
        <w:rPr/>
        <w:t xml:space="preserve">г. БИНС (бортовая инерционная система)</w:t>
      </w:r>
    </w:p>
    <w:p>
      <w:pPr/>
      <w:r>
        <w:rPr>
          <w:i w:val="1"/>
          <w:iCs w:val="1"/>
        </w:rPr>
        <w:t xml:space="preserve">3. Подбор экипажа</w:t>
      </w:r>
    </w:p>
    <w:p>
      <w:pPr/>
      <w:r>
        <w:rPr/>
        <w:t xml:space="preserve">Таблица 1 – Экипаж судна уровня автономности А4:</w:t>
      </w:r>
    </w:p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Экипаж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судно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берег</w:t>
            </w:r>
          </w:p>
        </w:tc>
      </w:tr>
      <w:tr>
        <w:trPr/>
        <w:tc>
          <w:tcPr/>
          <w:p>
            <w:pPr/>
            <w:r>
              <w:rPr/>
              <w:t xml:space="preserve">а. Штурман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б. Штурман в береговом ЦДУ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в. Инженер-судомеханик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г. Инженер-судомеханик в составе сервис-бригад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д. Судовой электрик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е. Судовой электрик в составе сервис-бригад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ж. Палубная команда на борту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  <w:tr>
        <w:trPr/>
        <w:tc>
          <w:tcPr/>
          <w:p>
            <w:pPr/>
            <w:r>
              <w:rPr/>
              <w:t xml:space="preserve">з. Палубная команда в составе сервис-бригад</w:t>
            </w:r>
          </w:p>
        </w:tc>
        <w:tc>
          <w:tcPr/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p>
      <w:pPr/>
      <w:r>
        <w:rPr>
          <w:i w:val="1"/>
          <w:iCs w:val="1"/>
        </w:rPr>
        <w:t xml:space="preserve">4. Процесс управления</w:t>
      </w:r>
    </w:p>
    <w:p>
      <w:pPr/>
      <w:r>
        <w:rPr/>
        <w:t xml:space="preserve">Выберите описание принципа управления полуавтономным судном:</w:t>
      </w:r>
    </w:p>
    <w:p>
      <w:pPr/>
      <w:r>
        <w:rPr/>
        <w:t xml:space="preserve">А. Данные от датчиков и камер передаются через антенну и спутник в береговой ЦДУ и на бортовой сервер; Рулями и двигателями управляет ИИ, находящийся на бортовом сервере; При необходимости возможен перехват управления из ЦДУ оператором</w:t>
      </w:r>
    </w:p>
    <w:p>
      <w:pPr/>
      <w:r>
        <w:rPr/>
        <w:t xml:space="preserve">Б. Данные от датчиков и камер передаются через антенну и спутник в береговой ЦДУ, обратно возвращается сигнал управления на рули и двигатели от оператора ЦДУ</w:t>
      </w:r>
    </w:p>
    <w:p>
      <w:pPr/>
      <w:r>
        <w:rPr>
          <w:i w:val="1"/>
          <w:iCs w:val="1"/>
        </w:rPr>
        <w:t xml:space="preserve">5. Аварийные ситуации</w:t>
      </w:r>
    </w:p>
    <w:p>
      <w:pPr/>
      <w:r>
        <w:rPr/>
        <w:t xml:space="preserve">Установите соответствие процедур реагирования автоматики на общесудовые сигналы тревоги при аварийных ситуациях</w:t>
      </w:r>
    </w:p>
    <w:p>
      <w:pPr/>
      <w:r>
        <w:rPr/>
        <w:t xml:space="preserve">Таблица 2 – Процедуры реагирования автоматики на общесудовые сигналы тревоги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>
          <w:tblHeader w:val="1"/>
        </w:trPr>
        <w:tc>
          <w:tcPr/>
          <w:p>
            <w:pPr/>
            <w:r>
              <w:rPr>
                <w:b w:val="1"/>
                <w:bCs w:val="1"/>
              </w:rPr>
              <w:t xml:space="preserve"> Общесудовые тревоги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Процедуры реагирования автоматики</w:t>
            </w:r>
          </w:p>
        </w:tc>
      </w:tr>
      <w:tr>
        <w:trPr/>
        <w:tc>
          <w:tcPr/>
          <w:p>
            <w:pPr/>
            <w:r>
              <w:rPr/>
              <w:t xml:space="preserve">А. потеря сигнала связи и/или видеосвязи</w:t>
            </w:r>
          </w:p>
          <w:p>
            <w:pPr/>
            <w:r>
              <w:rPr/>
              <w:t xml:space="preserve"> </w:t>
            </w:r>
          </w:p>
        </w:tc>
        <w:tc>
          <w:tcPr/>
          <w:p>
            <w:pPr/>
            <w:r>
              <w:rPr/>
              <w:t xml:space="preserve">1. попытки связи с ЦДУ в течение заданного отрезка времени, при невозможности – остановка судна с сигналом «не могу управляться»</w:t>
            </w:r>
          </w:p>
          <w:p>
            <w:pPr/>
            <w:r>
              <w:rPr/>
              <w:t xml:space="preserve">Оператор ЦДУ вызывает мобильную группу оперативного реагирования</w:t>
            </w:r>
          </w:p>
        </w:tc>
      </w:tr>
      <w:tr>
        <w:trPr/>
        <w:tc>
          <w:tcPr/>
          <w:p>
            <w:pPr/>
            <w:r>
              <w:rPr/>
              <w:t xml:space="preserve">Б. при пробоине</w:t>
            </w:r>
          </w:p>
        </w:tc>
        <w:tc>
          <w:tcPr/>
          <w:p>
            <w:pPr/>
            <w:r>
              <w:rPr/>
              <w:t xml:space="preserve">2. оповещение ЦДУ, попытки перезапуска систем в течение заданного отрезка времени, при неудаче – остановка судна с сигналом «не могу управляться»</w:t>
            </w:r>
          </w:p>
          <w:p>
            <w:pPr/>
            <w:r>
              <w:rPr/>
              <w:t xml:space="preserve">Оператор ЦДУ вызывает мобильную группу оперативного реагирования</w:t>
            </w:r>
          </w:p>
        </w:tc>
      </w:tr>
      <w:tr>
        <w:trPr/>
        <w:tc>
          <w:tcPr/>
          <w:p>
            <w:pPr/>
            <w:r>
              <w:rPr/>
              <w:t xml:space="preserve">В. выход из строя критических систем (навигации, органов управления / движения и т.п.)</w:t>
            </w:r>
          </w:p>
        </w:tc>
        <w:tc>
          <w:tcPr/>
          <w:p>
            <w:pPr/>
            <w:r>
              <w:rPr/>
              <w:t xml:space="preserve">3. оповещение ЦДУ, продолжение движения предпринимая меры предосторожности</w:t>
            </w:r>
          </w:p>
        </w:tc>
      </w:tr>
      <w:tr>
        <w:trPr/>
        <w:tc>
          <w:tcPr/>
          <w:p>
            <w:pPr/>
            <w:r>
              <w:rPr/>
              <w:t xml:space="preserve">С. выход из строя некритических систем (АПС, датчики, части видеокамер и т.п.)</w:t>
            </w:r>
          </w:p>
        </w:tc>
        <w:tc>
          <w:tcPr/>
          <w:p>
            <w:pPr/>
            <w:r>
              <w:rPr/>
              <w:t xml:space="preserve">4. переход в аварийный режим с оповещением ЦДУ, при наличии – включение автоматической системы перекрытия водонепроницаемых переборок.</w:t>
            </w:r>
          </w:p>
          <w:p>
            <w:pPr/>
            <w:r>
              <w:rPr/>
              <w:t xml:space="preserve">Оператор ЦДУ вызывает мобильную группу оперативного реагирования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 РУТ (МИИТ)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ориентироваться в технологиях автономных (безэкипажных) судов самостоятельно на базе знаний об общепринятых решениях (эталонах) в области автономного судовождения»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Корректность определения базовых параметров рейса автономного судна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1.	Санкт- Петербург – Шанхай
2.	а, б, в, г
3.	берег: б, г, е, з
4.	А
5.	А-1; Б-4; В-2; С-3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2023-11-20T14:02:31+00:00</dcterms:created>
  <dcterms:modified xsi:type="dcterms:W3CDTF">2023-11-20T14:02:31+00:00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