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Задания ДПП «Повышение квалификации оператора радиоэлектронного оборудования первого класса ГМССБ, задействованного в обслуживании оборудования и систем центра дистанционного управления автономными судами»</w:t>
      </w:r>
    </w:p>
    <w:p>
      <w:pPr/>
      <w:r>
        <w:rPr>
          <w:rFonts w:ascii="Times New Roman" w:hAnsi="Times New Roman" w:eastAsia="Times New Roman" w:cs="Times New Roman"/>
          <w:color w:val="000000"/>
          <w:sz w:val="28"/>
          <w:szCs w:val="28"/>
          <w:b w:val="0"/>
          <w:bCs w:val="0"/>
        </w:rPr>
        <w:t xml:space="preserve">Всего заданий: 11</w:t>
      </w:r>
    </w:p>
    <w:p>
      <w:pPr/>
      <w:r>
        <w:rPr>
          <w:rFonts w:ascii="Times New Roman" w:hAnsi="Times New Roman" w:eastAsia="Times New Roman" w:cs="Times New Roman"/>
          <w:color w:val="000000"/>
          <w:sz w:val="28"/>
          <w:szCs w:val="28"/>
          <w:b w:val="1"/>
          <w:bCs w:val="1"/>
        </w:rPr>
        <w:t xml:space="preserve">Задание № 1</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Задание на применение умений и навыков в реальных или модельных условиях</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Использование приемника НАВТЕКС</w:t>
      </w:r>
    </w:p>
    <w:p>
      <w:pPr/>
      <w:r>
        <w:rPr>
          <w:b w:val="1"/>
          <w:bCs w:val="1"/>
        </w:rPr>
        <w:t xml:space="preserve">1. </w:t>
      </w:r>
      <w:r>
        <w:rPr/>
        <w:t xml:space="preserve">Подготовить оборудование NAVTEX FURUNO NX-700A/B к приему сообщений.</w:t>
      </w:r>
    </w:p>
    <w:p>
      <w:pPr/>
      <w:r>
        <w:rPr>
          <w:b w:val="1"/>
          <w:bCs w:val="1"/>
        </w:rPr>
        <w:t xml:space="preserve">2. </w:t>
      </w:r>
      <w:r>
        <w:rPr/>
        <w:t xml:space="preserve">Выполнить программирование на прием определенных станций и видов сообщений.</w:t>
      </w:r>
    </w:p>
    <w:p>
      <w:pPr/>
      <w:r>
        <w:rPr>
          <w:b w:val="1"/>
          <w:bCs w:val="1"/>
        </w:rPr>
        <w:t xml:space="preserve">3. </w:t>
      </w:r>
      <w:r>
        <w:rPr/>
        <w:t xml:space="preserve">Включить звуковую сигнализацию для срочных сообщений.</w:t>
      </w:r>
    </w:p>
    <w:p>
      <w:pPr/>
      <w:r>
        <w:rPr>
          <w:b w:val="1"/>
          <w:bCs w:val="1"/>
        </w:rPr>
        <w:t xml:space="preserve">4.</w:t>
      </w:r>
      <w:r>
        <w:rPr/>
        <w:t xml:space="preserve"> Осуществить перестройку приемника на частоты 490/4209,5 кГц.</w:t>
      </w:r>
    </w:p>
    <w:p>
      <w:pPr/>
      <w:r>
        <w:rPr>
          <w:b w:val="1"/>
          <w:bCs w:val="1"/>
        </w:rPr>
        <w:t xml:space="preserve">5.</w:t>
      </w:r>
      <w:r>
        <w:rPr/>
        <w:t xml:space="preserve"> Выполнить защиту принятых сообщений от удаления.</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Аудитория для практических занятий</w:t>
      </w:r>
    </w:p>
    <w:p>
      <w:pPr/>
      <w:r>
        <w:rPr>
          <w:rFonts w:ascii="Times New Roman" w:hAnsi="Times New Roman" w:eastAsia="Times New Roman" w:cs="Times New Roman"/>
          <w:color w:val="000000"/>
          <w:sz w:val="28"/>
          <w:szCs w:val="28"/>
          <w:b w:val="0"/>
          <w:bCs w:val="0"/>
        </w:rPr>
        <w:t xml:space="preserve">Максимальное время выполнения: 40 минут</w:t>
      </w:r>
    </w:p>
    <w:p>
      <w:pPr/>
      <w:r>
        <w:rPr>
          <w:rFonts w:ascii="Times New Roman" w:hAnsi="Times New Roman" w:eastAsia="Times New Roman" w:cs="Times New Roman"/>
          <w:color w:val="000000"/>
          <w:sz w:val="28"/>
          <w:szCs w:val="28"/>
          <w:b w:val="1"/>
          <w:bCs w:val="1"/>
        </w:rPr>
        <w:t xml:space="preserve">Критерии оценки</w:t>
      </w:r>
    </w:p>
    <w:p>
      <w:pPr/>
      <w:r>
        <w:rPr>
          <w:rFonts w:ascii="Times New Roman" w:hAnsi="Times New Roman" w:eastAsia="Times New Roman" w:cs="Times New Roman"/>
          <w:color w:val="000000"/>
          <w:sz w:val="28"/>
          <w:szCs w:val="28"/>
          <w:b w:val="0"/>
          <w:bCs w:val="0"/>
        </w:rPr>
        <w:t xml:space="preserve">Предмет оценки: «Уметь эксплуатировать все подсистемы и оборудование радиосвязи ЦДУ (в т.ч. ГМССБ) согласно международным/национальным стандартам и регламентирующих документов»</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 Подготовить оборудование NAVTEX FURUNO NX-700A/B к приему сообщений.
2. Выполнить программирование на прием определенных станций и видов сообщений.
3. Включить звуковую сигнализацию для срочных сообщений.
4. Осуществить перестройку приемника на частоты 490/4209,5 кГц.
5. Выполнить защиту принятых сообщений от удаления.</w:t>
            </w:r>
          </w:p>
        </w:tc>
        <w:tc>
          <w:tcPr>
            <w:tcW w:w="6000" w:type="dxa"/>
          </w:tcPr>
          <w:p>
            <w:pPr/>
            <w:r>
              <w:rPr>
                <w:rFonts w:ascii="Times New Roman" w:hAnsi="Times New Roman" w:eastAsia="Times New Roman" w:cs="Times New Roman"/>
                <w:color w:val="000000"/>
                <w:sz w:val="28"/>
                <w:szCs w:val="28"/>
                <w:b w:val="0"/>
                <w:bCs w:val="0"/>
              </w:rPr>
              <w:t xml:space="preserve">Эксплуатация соответствует международным правилам и процедурам и осуществляются эффективно</w:t>
            </w:r>
          </w:p>
        </w:tc>
      </w:tr>
    </w:tbl>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2</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Задание на применение умений и навыков в реальных или модельных условиях</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1. </w:t>
      </w:r>
      <w:r>
        <w:rPr/>
        <w:t xml:space="preserve">Провестидействия по проверке приемника НАВТЕКС NAVTEX FURUNO NX-700A/B системой встроенного контроля.</w:t>
      </w:r>
    </w:p>
    <w:p>
      <w:pPr/>
      <w:r>
        <w:rPr>
          <w:b w:val="1"/>
          <w:bCs w:val="1"/>
        </w:rPr>
        <w:t xml:space="preserve">2. </w:t>
      </w:r>
      <w:r>
        <w:rPr/>
        <w:t xml:space="preserve">Выполнить замену рулона термобумаги и плавкого предохранителя согласно инструкции по эксплуатации.</w:t>
      </w:r>
    </w:p>
    <w:p>
      <w:pPr/>
      <w:r>
        <w:rPr>
          <w:b w:val="1"/>
          <w:bCs w:val="1"/>
        </w:rPr>
        <w:t xml:space="preserve">3. </w:t>
      </w:r>
      <w:r>
        <w:rPr/>
        <w:t xml:space="preserve">С помощью контрольно-измерительных приборов провести проверку технического состояния кабельных соединений NAVTEX FURUNO NX-700A/B.</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Аудитория для практических занятий</w:t>
      </w:r>
    </w:p>
    <w:p>
      <w:pPr/>
      <w:r>
        <w:rPr>
          <w:rFonts w:ascii="Times New Roman" w:hAnsi="Times New Roman" w:eastAsia="Times New Roman" w:cs="Times New Roman"/>
          <w:color w:val="000000"/>
          <w:sz w:val="28"/>
          <w:szCs w:val="28"/>
          <w:b w:val="0"/>
          <w:bCs w:val="0"/>
        </w:rPr>
        <w:t xml:space="preserve">Максимальное время выполнения: 60 минут</w:t>
      </w:r>
    </w:p>
    <w:p>
      <w:pPr/>
      <w:r>
        <w:rPr>
          <w:rFonts w:ascii="Times New Roman" w:hAnsi="Times New Roman" w:eastAsia="Times New Roman" w:cs="Times New Roman"/>
          <w:color w:val="000000"/>
          <w:sz w:val="28"/>
          <w:szCs w:val="28"/>
          <w:b w:val="1"/>
          <w:bCs w:val="1"/>
        </w:rPr>
        <w:t xml:space="preserve">Критерии оценки</w:t>
      </w:r>
    </w:p>
    <w:p>
      <w:pPr/>
      <w:r>
        <w:rPr>
          <w:rFonts w:ascii="Times New Roman" w:hAnsi="Times New Roman" w:eastAsia="Times New Roman" w:cs="Times New Roman"/>
          <w:color w:val="000000"/>
          <w:sz w:val="28"/>
          <w:szCs w:val="28"/>
          <w:b w:val="0"/>
          <w:bCs w:val="0"/>
        </w:rPr>
        <w:t xml:space="preserve">Предмет оценки: «Уметь осуществлять техническое обслуживание и ремонт подсистем и оборудования радиосвязи ЦДУ (в т.ч. ГМССБ) с помощью инструментов и контрольно-измерительных приборов согласно международным и национальным стандартам и регламентирующих документов»</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 Провести действия по проверке приемника НАВТЕКС NAVTEX FURUNO NX-700A/B системой встроенного контроля.
2. С помощью контрольно-измерительных приборов провести проверку технического состояния кабельных соединений NAVTEX FURUNO NX-700A/B.</w:t>
            </w:r>
          </w:p>
        </w:tc>
        <w:tc>
          <w:tcPr>
            <w:tcW w:w="6000" w:type="dxa"/>
          </w:tcPr>
          <w:p>
            <w:pPr/>
            <w:r>
              <w:rPr>
                <w:rFonts w:ascii="Times New Roman" w:hAnsi="Times New Roman" w:eastAsia="Times New Roman" w:cs="Times New Roman"/>
                <w:color w:val="000000"/>
                <w:sz w:val="28"/>
                <w:szCs w:val="28"/>
                <w:b w:val="0"/>
                <w:bCs w:val="0"/>
              </w:rPr>
              <w:t xml:space="preserve">Подготовка, планирование и проведение работ по обнаружению, локализации и устранению неисправностей согласно регламентирующих документов</w:t>
            </w:r>
          </w:p>
        </w:tc>
      </w:tr>
    </w:tbl>
    <w:p>
      <w:pPr/>
      <w:r>
        <w:rPr>
          <w:rFonts w:ascii="Times New Roman" w:hAnsi="Times New Roman" w:eastAsia="Times New Roman" w:cs="Times New Roman"/>
          <w:color w:val="000000"/>
          <w:sz w:val="28"/>
          <w:szCs w:val="28"/>
          <w:b w:val="0"/>
          <w:bCs w:val="0"/>
        </w:rPr>
        <w:t xml:space="preserve">Предмет оценки: «Уметь производить замену ответственных узлов и элементов подсистем и оборудования радиосвязи ЦДУ (в т.ч. ГМССБ) при помощи инструментов и контрольно-измерительных приборов согласно регламентирующих документов»</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 Провести действия по проверке приемника НАВТЕКС NAVTEX FURUNO NX-700A/B системой встроенного контроля.
2. Выполнить замену рулона термобумаги и плавкого предохранителя согласно инструкции по эксплуатации.</w:t>
            </w:r>
          </w:p>
        </w:tc>
        <w:tc>
          <w:tcPr>
            <w:tcW w:w="6000" w:type="dxa"/>
          </w:tcPr>
          <w:p>
            <w:pPr/>
            <w:r>
              <w:rPr>
                <w:rFonts w:ascii="Times New Roman" w:hAnsi="Times New Roman" w:eastAsia="Times New Roman" w:cs="Times New Roman"/>
                <w:color w:val="000000"/>
                <w:sz w:val="28"/>
                <w:szCs w:val="28"/>
                <w:b w:val="0"/>
                <w:bCs w:val="0"/>
              </w:rPr>
              <w:t xml:space="preserve">Подготовка, планирование и проведение работ по обнаружению, локализации и устранению неисправностей согласно регламентирующих документов</w:t>
            </w:r>
          </w:p>
        </w:tc>
      </w:tr>
    </w:tbl>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3</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Задание на применение умений и навыков в реальных или модельных условиях</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1. </w:t>
      </w:r>
      <w:r>
        <w:rPr/>
        <w:t xml:space="preserve">Используя руководство по эксплуатации АИС Транзас Т214 изучить основные технические характеристики оборудования БС АИС Т214.</w:t>
      </w:r>
    </w:p>
    <w:p>
      <w:pPr/>
      <w:r>
        <w:rPr>
          <w:b w:val="1"/>
          <w:bCs w:val="1"/>
        </w:rPr>
        <w:t xml:space="preserve">2.</w:t>
      </w:r>
      <w:r>
        <w:rPr/>
        <w:t xml:space="preserve">Используя руководство по эксплуатации АИС Транзас Т214 изучить комплектацию, структурные схемыи принцип действия электронных узлов БС АИС Т214.</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Аудитория для практических занятий</w:t>
      </w:r>
    </w:p>
    <w:p>
      <w:pPr/>
      <w:r>
        <w:rPr>
          <w:rFonts w:ascii="Times New Roman" w:hAnsi="Times New Roman" w:eastAsia="Times New Roman" w:cs="Times New Roman"/>
          <w:color w:val="000000"/>
          <w:sz w:val="28"/>
          <w:szCs w:val="28"/>
          <w:b w:val="0"/>
          <w:bCs w:val="0"/>
        </w:rPr>
        <w:t xml:space="preserve">Максимальное время выполнения: 40 минут</w:t>
      </w:r>
    </w:p>
    <w:p>
      <w:pPr/>
      <w:r>
        <w:rPr>
          <w:rFonts w:ascii="Times New Roman" w:hAnsi="Times New Roman" w:eastAsia="Times New Roman" w:cs="Times New Roman"/>
          <w:color w:val="000000"/>
          <w:sz w:val="28"/>
          <w:szCs w:val="28"/>
          <w:b w:val="1"/>
          <w:bCs w:val="1"/>
        </w:rPr>
        <w:t xml:space="preserve">Критерии оценки</w:t>
      </w:r>
    </w:p>
    <w:p>
      <w:pPr/>
      <w:r>
        <w:rPr>
          <w:rFonts w:ascii="Times New Roman" w:hAnsi="Times New Roman" w:eastAsia="Times New Roman" w:cs="Times New Roman"/>
          <w:color w:val="000000"/>
          <w:sz w:val="28"/>
          <w:szCs w:val="28"/>
          <w:b w:val="0"/>
          <w:bCs w:val="0"/>
        </w:rPr>
        <w:t xml:space="preserve">Предмет оценки: «Уметь определять и оценивать характеристики берегового радиоэлектронного оборудования согласно регламентирующих документов»</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 Используя руководство по эксплуатации АИС Транзас Т214 изучить основные технические характеристики оборудования БС АИС Т214.
2. Используя руководство по эксплуатации АИС Транзас Т214 изучить комплектацию, структурные схемы и принцип действия электронных узлов БС АИС Т214.</w:t>
            </w:r>
          </w:p>
        </w:tc>
        <w:tc>
          <w:tcPr>
            <w:tcW w:w="6000" w:type="dxa"/>
          </w:tcPr>
          <w:p>
            <w:pPr/>
            <w:r>
              <w:rPr>
                <w:rFonts w:ascii="Times New Roman" w:hAnsi="Times New Roman" w:eastAsia="Times New Roman" w:cs="Times New Roman"/>
                <w:color w:val="000000"/>
                <w:sz w:val="28"/>
                <w:szCs w:val="28"/>
                <w:b w:val="0"/>
                <w:bCs w:val="0"/>
              </w:rPr>
              <w:t xml:space="preserve">Ознакомление с составом и техническими характеристиками оборудования базовой станции АИС</w:t>
            </w:r>
          </w:p>
        </w:tc>
      </w:tr>
    </w:tbl>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4</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Задание на применение умений и навыков в реальных или модельных условиях</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Установка и настройка берегового оборудования АИС</w:t>
      </w:r>
    </w:p>
    <w:p>
      <w:pPr/>
      <w:r>
        <w:rPr>
          <w:b w:val="1"/>
          <w:bCs w:val="1"/>
        </w:rPr>
        <w:t xml:space="preserve">1. </w:t>
      </w:r>
      <w:r>
        <w:rPr/>
        <w:t xml:space="preserve">Используя Руководство по эксплуатации АИС Транзас Т214 изучить общие указания и последовательность монтажа.</w:t>
      </w:r>
    </w:p>
    <w:p>
      <w:pPr/>
      <w:r>
        <w:rPr>
          <w:b w:val="1"/>
          <w:bCs w:val="1"/>
        </w:rPr>
        <w:t xml:space="preserve">2. </w:t>
      </w:r>
      <w:r>
        <w:rPr/>
        <w:t xml:space="preserve">Используя Руководство по эксплуатации АИС Транзас Т214 изучить процедуру установки антенн:</w:t>
      </w:r>
    </w:p>
    <w:p>
      <w:pPr>
        <w:numPr>
          <w:ilvl w:val="0"/>
          <w:numId w:val="3"/>
        </w:numPr>
      </w:pPr>
      <w:r>
        <w:rPr/>
        <w:t xml:space="preserve">антенны ГНСС (ГЛОНАСС/GPS);</w:t>
      </w:r>
    </w:p>
    <w:p>
      <w:pPr>
        <w:numPr>
          <w:ilvl w:val="0"/>
          <w:numId w:val="3"/>
        </w:numPr>
      </w:pPr>
      <w:r>
        <w:rPr/>
        <w:t xml:space="preserve">антенны УКВ.</w:t>
      </w:r>
    </w:p>
    <w:p>
      <w:pPr/>
      <w:r>
        <w:rPr>
          <w:b w:val="1"/>
          <w:bCs w:val="1"/>
        </w:rPr>
        <w:t xml:space="preserve">3. </w:t>
      </w:r>
      <w:r>
        <w:rPr/>
        <w:t xml:space="preserve">Используя Руководство по эксплуатации АИС Транзас Т214 изучить процедуру монтажа базовой станции АИС БС Т214:</w:t>
      </w:r>
    </w:p>
    <w:p>
      <w:pPr>
        <w:numPr>
          <w:ilvl w:val="0"/>
          <w:numId w:val="4"/>
        </w:numPr>
      </w:pPr>
      <w:r>
        <w:rPr/>
        <w:t xml:space="preserve">процедуру установки базовой станции;</w:t>
      </w:r>
    </w:p>
    <w:p>
      <w:pPr>
        <w:numPr>
          <w:ilvl w:val="0"/>
          <w:numId w:val="4"/>
        </w:numPr>
      </w:pPr>
      <w:r>
        <w:rPr/>
        <w:t xml:space="preserve">подключение внешнего оборудования и интерфейсов для подключения;</w:t>
      </w:r>
    </w:p>
    <w:p>
      <w:pPr>
        <w:numPr>
          <w:ilvl w:val="0"/>
          <w:numId w:val="4"/>
        </w:numPr>
      </w:pPr>
      <w:r>
        <w:rPr/>
        <w:t xml:space="preserve">подключение источника питания.</w:t>
      </w:r>
    </w:p>
    <w:p>
      <w:pPr/>
      <w:r>
        <w:rPr>
          <w:b w:val="1"/>
          <w:bCs w:val="1"/>
        </w:rPr>
        <w:t xml:space="preserve">4.</w:t>
      </w:r>
      <w:r>
        <w:rPr/>
        <w:t xml:space="preserve">Выполнить монтаж разъема N-male на одном конце коаксиального кабеля RG213/UиTNC-male- на другом конце кабеля; провести проверку с помощью мультиметра.</w:t>
      </w:r>
    </w:p>
    <w:p>
      <w:pPr/>
      <w:r>
        <w:rPr>
          <w:b w:val="1"/>
          <w:bCs w:val="1"/>
        </w:rPr>
        <w:t xml:space="preserve">5.</w:t>
      </w:r>
      <w:r>
        <w:rPr/>
        <w:t xml:space="preserve">Выполнить монтаж разъема TNC-male и коаксиального ВЧ кабеля RG-58 и провести проверку с помощью мультиметра.</w:t>
      </w:r>
    </w:p>
    <w:p>
      <w:pPr/>
      <w:r>
        <w:rPr>
          <w:b w:val="1"/>
          <w:bCs w:val="1"/>
        </w:rPr>
        <w:t xml:space="preserve">6.</w:t>
      </w:r>
      <w:r>
        <w:rPr/>
        <w:t xml:space="preserve">Выполнить монтаж разъема </w:t>
      </w:r>
      <w:r>
        <w:rPr>
          <w:i w:val="1"/>
          <w:iCs w:val="1"/>
        </w:rPr>
        <w:t xml:space="preserve">UHF</w:t>
      </w:r>
      <w:r>
        <w:rPr>
          <w:i w:val="1"/>
          <w:iCs w:val="1"/>
        </w:rPr>
        <w:t xml:space="preserve">-</w:t>
      </w:r>
      <w:r>
        <w:rPr>
          <w:i w:val="1"/>
          <w:iCs w:val="1"/>
        </w:rPr>
        <w:t xml:space="preserve">male</w:t>
      </w:r>
      <w:r>
        <w:rPr/>
        <w:t xml:space="preserve">(PL-259) и коаксиальногокабеля RG213/Uи провести проверку с помощью мультиметра.</w:t>
      </w:r>
    </w:p>
    <w:p>
      <w:pPr/>
      <w:r>
        <w:rPr>
          <w:b w:val="1"/>
          <w:bCs w:val="1"/>
        </w:rPr>
        <w:t xml:space="preserve">7.</w:t>
      </w:r>
      <w:r>
        <w:rPr/>
        <w:t xml:space="preserve">Используя Руководство по эксплуатации АИС Транзас Т214 выполнить настройкууправляющих портов. Порты Main, Aux, и RTCM предназначены для подключения внешнего управляющего оборудования.</w:t>
      </w:r>
    </w:p>
    <w:p>
      <w:pPr/>
      <w:r>
        <w:rPr>
          <w:b w:val="1"/>
          <w:bCs w:val="1"/>
        </w:rPr>
        <w:t xml:space="preserve">7.1. </w:t>
      </w:r>
      <w:r>
        <w:rPr/>
        <w:t xml:space="preserve">Для изменения настроекзайти в меню Configuration\Setup\Control setup.</w:t>
      </w:r>
    </w:p>
    <w:p>
      <w:pPr/>
      <w:r>
        <w:rPr>
          <w:b w:val="1"/>
          <w:bCs w:val="1"/>
        </w:rPr>
        <w:t xml:space="preserve">7.1.</w:t>
      </w:r>
      <w:r>
        <w:rPr/>
        <w:t xml:space="preserve">По заданию инструктора, используя Руководство по эксплуатации АИС Транзас Т214 задать выполняемые функции для каждого из портов Main, Aux и RTCM.</w:t>
      </w:r>
    </w:p>
    <w:p>
      <w:pPr/>
      <w:r>
        <w:rPr>
          <w:b w:val="1"/>
          <w:bCs w:val="1"/>
        </w:rPr>
        <w:t xml:space="preserve">8. </w:t>
      </w:r>
      <w:r>
        <w:rPr/>
        <w:t xml:space="preserve">Выполнить настройку и проверку последовательных портов. При подключении внешних устройств к последовательным портам необходимо выполнить настройку статуса порта, скорости передачи данных, parity и номер стоп-бит.</w:t>
      </w:r>
    </w:p>
    <w:p>
      <w:pPr/>
      <w:r>
        <w:rPr>
          <w:b w:val="1"/>
          <w:bCs w:val="1"/>
        </w:rPr>
        <w:t xml:space="preserve">8.1. </w:t>
      </w:r>
      <w:r>
        <w:rPr/>
        <w:t xml:space="preserve">Войти в меню Configuration\Setup\Serial port setup.</w:t>
      </w:r>
    </w:p>
    <w:p>
      <w:pPr/>
      <w:r>
        <w:rPr>
          <w:b w:val="1"/>
          <w:bCs w:val="1"/>
        </w:rPr>
        <w:t xml:space="preserve">8.2. </w:t>
      </w:r>
      <w:r>
        <w:rPr/>
        <w:t xml:space="preserve">Для изменения настроек необходимо при помощи курсора выбрать нужный порт и нажать кнопку «Setup».</w:t>
      </w:r>
    </w:p>
    <w:p>
      <w:pPr/>
      <w:r>
        <w:rPr/>
        <w:t xml:space="preserve">Для установки параметров портов необходимо следовать указаниям, приведенным в Руководстве по эксплуатации АИС Транзас Т214.</w:t>
      </w:r>
    </w:p>
    <w:p>
      <w:pPr/>
      <w:r>
        <w:rPr>
          <w:b w:val="1"/>
          <w:bCs w:val="1"/>
        </w:rPr>
        <w:t xml:space="preserve">9. </w:t>
      </w:r>
      <w:r>
        <w:rPr/>
        <w:t xml:space="preserve">Выполнить настройку источников навигационных данных.</w:t>
      </w:r>
    </w:p>
    <w:p>
      <w:pPr/>
      <w:r>
        <w:rPr>
          <w:b w:val="1"/>
          <w:bCs w:val="1"/>
        </w:rPr>
        <w:t xml:space="preserve">9.1.</w:t>
      </w:r>
      <w:r>
        <w:rPr/>
        <w:t xml:space="preserve">Выбор виртуальных источников осуществляется в меню Configuration\Setup\Sensor setup.</w:t>
      </w:r>
    </w:p>
    <w:p>
      <w:pPr/>
      <w:r>
        <w:rPr>
          <w:b w:val="1"/>
          <w:bCs w:val="1"/>
        </w:rPr>
        <w:t xml:space="preserve">9.2. </w:t>
      </w:r>
      <w:r>
        <w:rPr/>
        <w:t xml:space="preserve">Создание виртуальных источников координат.Войти в меню Configuration\Setup\Sensor setup\Sources of position.</w:t>
      </w:r>
    </w:p>
    <w:p>
      <w:pPr/>
      <w:r>
        <w:rPr/>
        <w:t xml:space="preserve">Меню позволяет определить до восьми виртуальных источников координат. Кнопка «Change» позволяет менять определение виртуальных источников. Кнопка «Reset» стирает все определения, введенные пользователем, иустанавливает стандартные определения, соответствующие стандарту IEC-61993-2.</w:t>
      </w:r>
    </w:p>
    <w:p>
      <w:pPr/>
      <w:r>
        <w:rPr/>
        <w:t xml:space="preserve">При выходе из меню «Main Setup» на запрос устройства подтверждения на изменения, необходимо нажать «Yes».</w:t>
      </w:r>
    </w:p>
    <w:p>
      <w:pPr/>
      <w:r>
        <w:rPr>
          <w:b w:val="1"/>
          <w:bCs w:val="1"/>
        </w:rPr>
        <w:t xml:space="preserve">9.3.</w:t>
      </w:r>
      <w:r>
        <w:rPr/>
        <w:t xml:space="preserve">Определение источников синхронизации. При определении источников синхронизации следует учитывать, что для каждого источника задается пара портов: последовательный порт для приема NMEA предложений,содержащих UTC от приемника ГНСС; и дискретный вход для сигнала PPS от того жесамого приемника ГНСС.</w:t>
      </w:r>
    </w:p>
    <w:p>
      <w:pPr/>
      <w:r>
        <w:rPr/>
        <w:t xml:space="preserve">Выбрать источник и нажать кнопку «Change», появится окно «Sync. Sources#2».</w:t>
      </w:r>
    </w:p>
    <w:p>
      <w:pPr/>
      <w:r>
        <w:rPr/>
        <w:t xml:space="preserve">Выбрать в качестве источника PPS значение PPS-Sen1, а в качестве источника NMEA –Sensor 2. Установить«Enable» для включения второго источника синхронизации.</w:t>
      </w:r>
    </w:p>
    <w:p>
      <w:pPr/>
      <w:r>
        <w:rPr/>
        <w:t xml:space="preserve">При выходе из меню «Main Setup» на запрос устройства подтверждения на изменения,нажать «Yes».</w:t>
      </w:r>
    </w:p>
    <w:p>
      <w:pPr/>
      <w:r>
        <w:rPr>
          <w:b w:val="1"/>
          <w:bCs w:val="1"/>
        </w:rPr>
        <w:t xml:space="preserve">9.4.</w:t>
      </w:r>
      <w:r>
        <w:rPr/>
        <w:t xml:space="preserve">Выполнить настройку приема/выдачи дифференциальных поправок, передача дифференциальных поправок в эфир. Войти в меню Configuration\Setup\Sensor setup\Sources of diff. Data.</w:t>
      </w:r>
    </w:p>
    <w:p>
      <w:pPr/>
      <w:r>
        <w:rPr/>
        <w:t xml:space="preserve">Кнопка «Change» позволяет менять определение источников. Кнопка «Reset» стирает всеопределения, введенные пользователем, и устанавливает стандартные определения,соответствующие стандарту IEC-61993-2.</w:t>
      </w:r>
    </w:p>
    <w:p>
      <w:pPr/>
      <w:r>
        <w:rPr/>
        <w:t xml:space="preserve"> </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Аудитория для практических занятий</w:t>
      </w:r>
    </w:p>
    <w:p>
      <w:pPr/>
      <w:r>
        <w:rPr>
          <w:rFonts w:ascii="Times New Roman" w:hAnsi="Times New Roman" w:eastAsia="Times New Roman" w:cs="Times New Roman"/>
          <w:color w:val="000000"/>
          <w:sz w:val="28"/>
          <w:szCs w:val="28"/>
          <w:b w:val="0"/>
          <w:bCs w:val="0"/>
        </w:rPr>
        <w:t xml:space="preserve">Максимальное время выполнения: 40 минут</w:t>
      </w:r>
    </w:p>
    <w:p>
      <w:pPr/>
      <w:r>
        <w:rPr>
          <w:rFonts w:ascii="Times New Roman" w:hAnsi="Times New Roman" w:eastAsia="Times New Roman" w:cs="Times New Roman"/>
          <w:color w:val="000000"/>
          <w:sz w:val="28"/>
          <w:szCs w:val="28"/>
          <w:b w:val="1"/>
          <w:bCs w:val="1"/>
        </w:rPr>
        <w:t xml:space="preserve">Критерии оценки</w:t>
      </w:r>
    </w:p>
    <w:p>
      <w:pPr/>
      <w:r>
        <w:rPr>
          <w:rFonts w:ascii="Times New Roman" w:hAnsi="Times New Roman" w:eastAsia="Times New Roman" w:cs="Times New Roman"/>
          <w:color w:val="000000"/>
          <w:sz w:val="28"/>
          <w:szCs w:val="28"/>
          <w:b w:val="0"/>
          <w:bCs w:val="0"/>
        </w:rPr>
        <w:t xml:space="preserve">Предмет оценки: «Уметь монтировать и настраивать составные части берегового радиоэлектронного оборудования согласно регламентирующих документов»</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 Используя Руководство по эксплуатации АИС Транзас Т214 изучить общие указания и последовательность монтажа.
2. Используя Руководство по эксплуатации АИС Транзас Т214 изучить процедуру установки антенн:
антенны ГНСС (ГЛОНАСС/GPS);
антенны УКВ.
3. Используя Руководство по эксплуатации АИС Транзас Т214 изучить процедуру монтажа базовой станции АИС БС Т214:
процедуру установки базовой станции;
подключение внешнего оборудования и интерфейсов для подключения;
подключение источника питания.
4.Выполнить монтаж разъема N-male на одном конце коаксиального кабеля RG213/UиTNC-male- на другом конце кабеля; провести проверку с помощью мультиметра.
5.Выполнить монтаж разъема TNC-male и коаксиального ВЧ кабеля RG-58 и провести проверку с помощью мультиметра.
6.Выполнить монтаж разъема UHF-male(PL-259) и коаксиального кабеля RG213/Uи провести проверку с помощью мультиметра.
7.Используя Руководство по эксплуатации АИС Транзас Т214 выполнить настройку управляющих портов. Порты Main, Aux, и RTCM предназначены для подключения внешнего управляющего оборудования.
7.1. Для изменения настроек зайти в меню Configuration\Setup\Control setup.
7.1.По заданию инструктора, используя Руководство по эксплуатации АИС Транзас Т214 задать выполняемые функции для каждого из портов Main, Aux и RTCM.
8. Выполнить настройку и проверку последовательных портов. При подключении внешних устройств к последовательным портам необходимо выполнить настройку статуса порта, скорости передачи данных, parity и номер стоп-бит.
8.1.Войти в меню Configuration\Setup\Serial port setup.
8.2. Для изменения настроек необходимо при помощи курсора выбрать нужный порт и нажать кнопку «Setup».
Для установки параметров портов необходимо следовать указаниям, приведенным в Руководстве по эксплуатации АИС Транзас Т214.
9. Выполнить настройку источников навигационных данных.
9.1.Выбор виртуальных источников осуществляется в меню Configuration\Setup\Sensor setup.
9.2. Создание виртуальных источников координат. Войти в меню Configuration\Setup\Sensor setup\Sources of position.
Меню позволяет определить до восьми виртуальных источников координат. Кнопка «Change» позволяет менять определение виртуальных источников. Кнопка «Reset» стирает все определения, введенные пользователем, и устанавливает стандартные определения, соответствующие стандарту IEC-61993-2.
При выходе из меню «Main Setup» на запрос устройства подтверждения на изменения, необходимо нажать «Yes».
9.3.Определение источников синхронизации. При определении источников синхронизации следует учитывать, что для каждого источника задается пара портов: последовательный порт для приема NMEA предложений,содержащих UTC от приемника ГНСС; и дискретный вход для сигнала PPS от того же самого приемника ГНСС.
Выбрать источник и нажать кнопку «Change», появится окно «Sync. Sources#2».
Выбрать в качестве источника PPS значение PPS-Sen1, а в качестве источника NMEA –Sensor 2. Установить«Enable» для включения второго источника синхронизации.
При выходе из меню «Main Setup» на запрос устройства подтверждения на изменения,нажать «Yes».
9.4.Выполнить настройку приема/выдачи дифференциальных поправок, передача дифференциальных поправок в эфир. Войти в меню Configuration\Setup\Sensor setup\Sources of diff. Data.
Кнопка «Change» позволяет менять определение источников. Кнопка «Reset» стирает все определения, введенные пользователем, и устанавливает стандартные определения,соответствующие стандарту IEC-61993-2.</w:t>
            </w:r>
          </w:p>
        </w:tc>
        <w:tc>
          <w:tcPr>
            <w:tcW w:w="6000" w:type="dxa"/>
          </w:tcPr>
          <w:p>
            <w:pPr/>
            <w:r>
              <w:rPr>
                <w:rFonts w:ascii="Times New Roman" w:hAnsi="Times New Roman" w:eastAsia="Times New Roman" w:cs="Times New Roman"/>
                <w:color w:val="000000"/>
                <w:sz w:val="28"/>
                <w:szCs w:val="28"/>
                <w:b w:val="0"/>
                <w:bCs w:val="0"/>
              </w:rPr>
              <w:t xml:space="preserve">Подготовка, планирование и проведение работ по монтажу и настройке составных частей берегового оборудования АИС согласно регламентирующих документов</w:t>
            </w:r>
          </w:p>
        </w:tc>
      </w:tr>
    </w:tbl>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5</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Задание на применение умений и навыков в реальных или модельных условиях</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Периодическое обслуживание берегового оборудования АИС</w:t>
      </w:r>
    </w:p>
    <w:p>
      <w:pPr/>
      <w:r>
        <w:rPr>
          <w:b w:val="1"/>
          <w:bCs w:val="1"/>
        </w:rPr>
        <w:t xml:space="preserve">1. </w:t>
      </w:r>
      <w:r>
        <w:rPr/>
        <w:t xml:space="preserve">Используя руководство по эксплуатации АИС Транзас Т214 изучить основное содержание мероприятий по ТО, их периодичность и меры безопасности при проведении ТО.</w:t>
      </w:r>
    </w:p>
    <w:p>
      <w:pPr/>
      <w:r>
        <w:rPr>
          <w:b w:val="1"/>
          <w:bCs w:val="1"/>
        </w:rPr>
        <w:t xml:space="preserve">2. </w:t>
      </w:r>
      <w:r>
        <w:rPr/>
        <w:t xml:space="preserve">Используя руководство по эксплуатации АИС Транзас Т214 выполнить контроль источников навигационных данных (ЕТО- ежедневно).</w:t>
      </w:r>
    </w:p>
    <w:p>
      <w:pPr/>
      <w:r>
        <w:rPr>
          <w:b w:val="1"/>
          <w:bCs w:val="1"/>
        </w:rPr>
        <w:t xml:space="preserve">2.1</w:t>
      </w:r>
      <w:r>
        <w:rPr/>
        <w:t xml:space="preserve"> Зайти в меню «Sensor data»для контроля данных сенсоров. В меню «Sensor data» индицируются данные, взятые от наиболее приоритетного источника.</w:t>
      </w:r>
    </w:p>
    <w:p>
      <w:pPr/>
      <w:r>
        <w:rPr>
          <w:b w:val="1"/>
          <w:bCs w:val="1"/>
        </w:rPr>
        <w:t xml:space="preserve">2.2. </w:t>
      </w:r>
      <w:r>
        <w:rPr/>
        <w:t xml:space="preserve">Зайти в меню «Activesources» нажав кнопку ChkSrc. Меню позволяет проконтролировать номера виртуальных источников данных, от которых в данный момент имеется устойчивый поток данных. Выбранный для использования источник отмечен знаком «!».</w:t>
      </w:r>
    </w:p>
    <w:p>
      <w:pPr/>
      <w:r>
        <w:rPr>
          <w:b w:val="1"/>
          <w:bCs w:val="1"/>
        </w:rPr>
        <w:t xml:space="preserve">3. </w:t>
      </w:r>
      <w:r>
        <w:rPr/>
        <w:t xml:space="preserve">Выполнить контроль источников синхронизации, периодичность и точность сигналов (Меню Configuration\Diagnostics\ SyncSrc.).</w:t>
      </w:r>
    </w:p>
    <w:p>
      <w:pPr/>
      <w:r>
        <w:rPr>
          <w:b w:val="1"/>
          <w:bCs w:val="1"/>
        </w:rPr>
        <w:t xml:space="preserve">4.</w:t>
      </w:r>
      <w:r>
        <w:rPr/>
        <w:t xml:space="preserve">Проверить служебную информацию о работе АИС в меню Alarms\Status\Tech.Info.</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Аудитория для практических занятий</w:t>
      </w:r>
    </w:p>
    <w:p>
      <w:pPr/>
      <w:r>
        <w:rPr>
          <w:rFonts w:ascii="Times New Roman" w:hAnsi="Times New Roman" w:eastAsia="Times New Roman" w:cs="Times New Roman"/>
          <w:color w:val="000000"/>
          <w:sz w:val="28"/>
          <w:szCs w:val="28"/>
          <w:b w:val="0"/>
          <w:bCs w:val="0"/>
        </w:rPr>
        <w:t xml:space="preserve">Максимальное время выполнения: 40 минут</w:t>
      </w:r>
    </w:p>
    <w:p>
      <w:pPr/>
      <w:r>
        <w:rPr>
          <w:rFonts w:ascii="Times New Roman" w:hAnsi="Times New Roman" w:eastAsia="Times New Roman" w:cs="Times New Roman"/>
          <w:color w:val="000000"/>
          <w:sz w:val="28"/>
          <w:szCs w:val="28"/>
          <w:b w:val="1"/>
          <w:bCs w:val="1"/>
        </w:rPr>
        <w:t xml:space="preserve">Критерии оценки</w:t>
      </w:r>
    </w:p>
    <w:p>
      <w:pPr/>
      <w:r>
        <w:rPr>
          <w:rFonts w:ascii="Times New Roman" w:hAnsi="Times New Roman" w:eastAsia="Times New Roman" w:cs="Times New Roman"/>
          <w:color w:val="000000"/>
          <w:sz w:val="28"/>
          <w:szCs w:val="28"/>
          <w:b w:val="0"/>
          <w:bCs w:val="0"/>
        </w:rPr>
        <w:t xml:space="preserve">Предмет оценки: «Уметь осуществлять регламентные работы по техническому обслуживанию берегового радиоэлектронного оборудования согласно регламентирующих документов»</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 Используя руководство по эксплуатации АИС Транзас Т214 изучить основное содержание мероприятий по ТО, их периодичность и меры безопасности при проведении ТО.
2. Используя руководство по эксплуатации АИС Транзас Т214 выполнить контроль источников навигационных данных (ЕТО- ежедневно).
2.1 Зайти в меню «Sensor data»для контроля данных сенсоров. В меню «Sensor data» индицируются данные, взятые от наиболее приоритетного источника.
2.2. Зайти в меню «Activesources» нажав кнопку ChkSrc. Меню позволяет проконтролировать номера виртуальных источников данных, от которых в данный момент имеется устойчивый поток данных. Выбранный для использования источник отмечен знаком «!».
3. Выполнить контроль источников синхронизации, периодичность и точность сигналов (Меню Configuration\Diagnostics\ SyncSrc.).
4.Проверить служебную информацию о работе АИС в меню Alarms\Status\Tech.Info.</w:t>
            </w:r>
          </w:p>
        </w:tc>
        <w:tc>
          <w:tcPr>
            <w:tcW w:w="6000" w:type="dxa"/>
          </w:tcPr>
          <w:p>
            <w:pPr/>
            <w:r>
              <w:rPr>
                <w:rFonts w:ascii="Times New Roman" w:hAnsi="Times New Roman" w:eastAsia="Times New Roman" w:cs="Times New Roman"/>
                <w:color w:val="000000"/>
                <w:sz w:val="28"/>
                <w:szCs w:val="28"/>
                <w:b w:val="0"/>
                <w:bCs w:val="0"/>
              </w:rPr>
              <w:t xml:space="preserve">Подготовка, планирование и проведение регламентных работ по техническому обслуживанию берегового оборудования АИС согласно регламентирующих документов</w:t>
            </w:r>
          </w:p>
        </w:tc>
      </w:tr>
    </w:tbl>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6</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Задание на применение умений и навыков в реальных или модельных условиях</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Устранение неисправностей сервера видеорегистрации</w:t>
      </w:r>
    </w:p>
    <w:p>
      <w:pPr/>
      <w:r>
        <w:rPr>
          <w:b w:val="1"/>
          <w:bCs w:val="1"/>
        </w:rPr>
        <w:t xml:space="preserve">1. </w:t>
      </w:r>
      <w:r>
        <w:rPr/>
        <w:t xml:space="preserve">Используя Руководство по установке оборудования Bosch Recording Station Appliance изучить элементы сервера видеорегистрации и индикаторы на панели управления, которые указывают на состояние системы и компонентов.</w:t>
      </w:r>
    </w:p>
    <w:p>
      <w:pPr/>
      <w:r>
        <w:rPr>
          <w:b w:val="1"/>
          <w:bCs w:val="1"/>
        </w:rPr>
        <w:t xml:space="preserve">2. </w:t>
      </w:r>
      <w:r>
        <w:rPr/>
        <w:t xml:space="preserve">Используя Руководство по установке оборудования Bosch Recording Station Appliance отработать процесс замены жестких дисков.</w:t>
      </w:r>
    </w:p>
    <w:p>
      <w:pPr/>
      <w:r>
        <w:rPr>
          <w:b w:val="1"/>
          <w:bCs w:val="1"/>
        </w:rPr>
        <w:t xml:space="preserve">3. </w:t>
      </w:r>
      <w:r>
        <w:rPr/>
        <w:t xml:space="preserve">Используя Руководство по установке оборудования Bosch Recording Station Appliance отработать процесс замены системного вентилятора.</w:t>
      </w:r>
    </w:p>
    <w:p>
      <w:pPr/>
      <w:r>
        <w:rPr>
          <w:b w:val="1"/>
          <w:bCs w:val="1"/>
        </w:rPr>
        <w:t xml:space="preserve">4. </w:t>
      </w:r>
      <w:r>
        <w:rPr/>
        <w:t xml:space="preserve">Используя Руководство по установке оборудования Bosch Recording Station Appliance отработать процесс замены источника питания.</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Аудитория для практических занятий</w:t>
      </w:r>
    </w:p>
    <w:p>
      <w:pPr/>
      <w:r>
        <w:rPr>
          <w:rFonts w:ascii="Times New Roman" w:hAnsi="Times New Roman" w:eastAsia="Times New Roman" w:cs="Times New Roman"/>
          <w:color w:val="000000"/>
          <w:sz w:val="28"/>
          <w:szCs w:val="28"/>
          <w:b w:val="0"/>
          <w:bCs w:val="0"/>
        </w:rPr>
        <w:t xml:space="preserve">Максимальное время выполнения: 40 минут</w:t>
      </w:r>
    </w:p>
    <w:p>
      <w:pPr/>
      <w:r>
        <w:rPr>
          <w:rFonts w:ascii="Times New Roman" w:hAnsi="Times New Roman" w:eastAsia="Times New Roman" w:cs="Times New Roman"/>
          <w:color w:val="000000"/>
          <w:sz w:val="28"/>
          <w:szCs w:val="28"/>
          <w:b w:val="1"/>
          <w:bCs w:val="1"/>
        </w:rPr>
        <w:t xml:space="preserve">Критерии оценки</w:t>
      </w:r>
    </w:p>
    <w:p>
      <w:pPr/>
      <w:r>
        <w:rPr>
          <w:rFonts w:ascii="Times New Roman" w:hAnsi="Times New Roman" w:eastAsia="Times New Roman" w:cs="Times New Roman"/>
          <w:color w:val="000000"/>
          <w:sz w:val="28"/>
          <w:szCs w:val="28"/>
          <w:b w:val="0"/>
          <w:bCs w:val="0"/>
        </w:rPr>
        <w:t xml:space="preserve">Предмет оценки: «Уметь оценивать техническое состояние и осуществлять обнаружение, локализацию и устранение неисправностей берегового радиоэлектронного оборудования согласно регламентирующих документов»</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Используя Руководство по установке оборудования Bosch Recording Station Appliance изучить элементы сервера видеорегистрации и индикаторы на панели управления, которые указывают на состояние системы и компонентов.</w:t>
            </w:r>
          </w:p>
        </w:tc>
        <w:tc>
          <w:tcPr>
            <w:tcW w:w="6000" w:type="dxa"/>
          </w:tcPr>
          <w:p>
            <w:pPr/>
            <w:r>
              <w:rPr>
                <w:rFonts w:ascii="Times New Roman" w:hAnsi="Times New Roman" w:eastAsia="Times New Roman" w:cs="Times New Roman"/>
                <w:color w:val="000000"/>
                <w:sz w:val="28"/>
                <w:szCs w:val="28"/>
                <w:b w:val="0"/>
                <w:bCs w:val="0"/>
              </w:rPr>
              <w:t xml:space="preserve">Подготовка, планирование и проведение работ по обнаружению, локализации и устранению неисправностей согласно регламентирующих документов</w:t>
            </w:r>
          </w:p>
        </w:tc>
      </w:tr>
    </w:tbl>
    <w:p>
      <w:pPr/>
      <w:r>
        <w:rPr>
          <w:rFonts w:ascii="Times New Roman" w:hAnsi="Times New Roman" w:eastAsia="Times New Roman" w:cs="Times New Roman"/>
          <w:color w:val="000000"/>
          <w:sz w:val="28"/>
          <w:szCs w:val="28"/>
          <w:b w:val="0"/>
          <w:bCs w:val="0"/>
        </w:rPr>
        <w:t xml:space="preserve">Предмет оценки: «Уметь производить замену ответственных узлов и элементов берегового радиоэлектронного оборудования согласно регламентирующих документов»</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 Используя Руководство по установке оборудования Bosch Recording Station Appliance отработать процесс замены жестких дисков.
2. Используя Руководство по установке оборудования Bosch Recording Station Appliance отработать процесс замены системного вентилятора.
3. Используя Руководство по установке оборудования Bosch Recording Station Appliance отработать процесс замены источника питания.</w:t>
            </w:r>
          </w:p>
        </w:tc>
        <w:tc>
          <w:tcPr>
            <w:tcW w:w="6000" w:type="dxa"/>
          </w:tcPr>
          <w:p>
            <w:pPr/>
            <w:r>
              <w:rPr>
                <w:rFonts w:ascii="Times New Roman" w:hAnsi="Times New Roman" w:eastAsia="Times New Roman" w:cs="Times New Roman"/>
                <w:color w:val="000000"/>
                <w:sz w:val="28"/>
                <w:szCs w:val="28"/>
                <w:b w:val="0"/>
                <w:bCs w:val="0"/>
              </w:rPr>
              <w:t xml:space="preserve">Подготовка, планирование и проведение работ по обнаружению, локализации и устранению неисправностей согласно регламентирующих документов</w:t>
            </w:r>
          </w:p>
        </w:tc>
      </w:tr>
    </w:tbl>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7</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Задание на применение умений и навыков в реальных или модельных условиях</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Оценка влияния на BER отношения сигнал шум для OFDM сигнала в широкополосных системах связи</w:t>
      </w:r>
    </w:p>
    <w:p>
      <w:pPr/>
      <w:r>
        <w:rPr>
          <w:b w:val="1"/>
          <w:bCs w:val="1"/>
        </w:rPr>
        <w:t xml:space="preserve">1. </w:t>
      </w:r>
      <w:r>
        <w:rPr/>
        <w:t xml:space="preserve">Провести измерение BER при различных уровнях SNR для OFDM сигнала c параметрами N = 4096, модуляция QAM-16, CS = 30kHz.</w:t>
      </w:r>
    </w:p>
    <w:p>
      <w:pPr/>
      <w:r>
        <w:rPr>
          <w:b w:val="1"/>
          <w:bCs w:val="1"/>
        </w:rPr>
        <w:t xml:space="preserve">2. </w:t>
      </w:r>
      <w:r>
        <w:rPr/>
        <w:t xml:space="preserve">Построить зависимость коэффициента передачи мощности от величины задержки сигнала, спектр и диаграмму созвездие для OFDM сигнала.</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Аудитория для практических занятий</w:t>
      </w:r>
    </w:p>
    <w:p>
      <w:pPr/>
      <w:r>
        <w:rPr>
          <w:rFonts w:ascii="Times New Roman" w:hAnsi="Times New Roman" w:eastAsia="Times New Roman" w:cs="Times New Roman"/>
          <w:color w:val="000000"/>
          <w:sz w:val="28"/>
          <w:szCs w:val="28"/>
          <w:b w:val="0"/>
          <w:bCs w:val="0"/>
        </w:rPr>
        <w:t xml:space="preserve">Максимальное время выполнения: 40 минут</w:t>
      </w:r>
    </w:p>
    <w:p>
      <w:pPr/>
      <w:r>
        <w:rPr>
          <w:rFonts w:ascii="Times New Roman" w:hAnsi="Times New Roman" w:eastAsia="Times New Roman" w:cs="Times New Roman"/>
          <w:color w:val="000000"/>
          <w:sz w:val="28"/>
          <w:szCs w:val="28"/>
          <w:b w:val="1"/>
          <w:bCs w:val="1"/>
        </w:rPr>
        <w:t xml:space="preserve">Критерии оценки</w:t>
      </w:r>
    </w:p>
    <w:p>
      <w:pPr/>
      <w:r>
        <w:rPr>
          <w:rFonts w:ascii="Times New Roman" w:hAnsi="Times New Roman" w:eastAsia="Times New Roman" w:cs="Times New Roman"/>
          <w:color w:val="000000"/>
          <w:sz w:val="28"/>
          <w:szCs w:val="28"/>
          <w:b w:val="0"/>
          <w:bCs w:val="0"/>
        </w:rPr>
        <w:t xml:space="preserve">Предмет оценки: «Уметь оценивать характеристики телекоммуникационного оборудования и качество предоставляемых услуг согласно международных/национальных стандартов и регламентирующих документов»</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 Провести измерение BER при различных уровнях SNR для OFDM сигнала c параметрами N = 4096, модуляция QAM-16, CS = 30kHz.
2. Построить зависимость коэффициента передачи мощности от величины задержки сигнала, спектр и диаграмму созвездие для OFDM сигнала.</w:t>
            </w:r>
          </w:p>
        </w:tc>
        <w:tc>
          <w:tcPr>
            <w:tcW w:w="6000" w:type="dxa"/>
          </w:tcPr>
          <w:p>
            <w:pPr/>
            <w:r>
              <w:rPr>
                <w:rFonts w:ascii="Times New Roman" w:hAnsi="Times New Roman" w:eastAsia="Times New Roman" w:cs="Times New Roman"/>
                <w:color w:val="000000"/>
                <w:sz w:val="28"/>
                <w:szCs w:val="28"/>
                <w:b w:val="0"/>
                <w:bCs w:val="0"/>
              </w:rPr>
              <w:t xml:space="preserve">Подготовка, планирование и проведение оценки характеристик и качества сигнала</w:t>
            </w:r>
          </w:p>
        </w:tc>
      </w:tr>
    </w:tbl>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8</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Задание на применение умений и навыков в реальных или модельных условиях</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Применение контрольно-измерительных приборов и инструментов при техническом обслуживании телекоммуникационного оборудования</w:t>
      </w:r>
    </w:p>
    <w:p>
      <w:pPr/>
      <w:r>
        <w:rPr>
          <w:b w:val="1"/>
          <w:bCs w:val="1"/>
        </w:rPr>
        <w:t xml:space="preserve">1.</w:t>
      </w:r>
      <w:r>
        <w:rPr/>
        <w:t xml:space="preserve"> Изучение технических характеристик, устройства анализатора спектра FPL1007 и принципа работы основных его узлов.</w:t>
      </w:r>
    </w:p>
    <w:p>
      <w:pPr/>
      <w:r>
        <w:rPr>
          <w:b w:val="1"/>
          <w:bCs w:val="1"/>
        </w:rPr>
        <w:t xml:space="preserve">2.</w:t>
      </w:r>
      <w:r>
        <w:rPr/>
        <w:t xml:space="preserve">  Провести проверку калибровки и селекцию высоких уровней, составляющих спектра собственных шумов анализатора спектра.</w:t>
      </w:r>
    </w:p>
    <w:p>
      <w:pPr/>
      <w:r>
        <w:rPr>
          <w:b w:val="1"/>
          <w:bCs w:val="1"/>
        </w:rPr>
        <w:t xml:space="preserve">3.</w:t>
      </w:r>
      <w:r>
        <w:rPr/>
        <w:t xml:space="preserve"> Провести наблюдение спектров периодических сигналов различной формы, овладеть техникой измерений спектральных составляющих исследуемых сигналов с помощью анализатора спектра FPL1007.</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Аудитория для практических занятий</w:t>
      </w:r>
    </w:p>
    <w:p>
      <w:pPr/>
      <w:r>
        <w:rPr>
          <w:rFonts w:ascii="Times New Roman" w:hAnsi="Times New Roman" w:eastAsia="Times New Roman" w:cs="Times New Roman"/>
          <w:color w:val="000000"/>
          <w:sz w:val="28"/>
          <w:szCs w:val="28"/>
          <w:b w:val="0"/>
          <w:bCs w:val="0"/>
        </w:rPr>
        <w:t xml:space="preserve">Максимальное время выполнения: 40 минут</w:t>
      </w:r>
    </w:p>
    <w:p>
      <w:pPr/>
      <w:r>
        <w:rPr>
          <w:rFonts w:ascii="Times New Roman" w:hAnsi="Times New Roman" w:eastAsia="Times New Roman" w:cs="Times New Roman"/>
          <w:color w:val="000000"/>
          <w:sz w:val="28"/>
          <w:szCs w:val="28"/>
          <w:b w:val="1"/>
          <w:bCs w:val="1"/>
        </w:rPr>
        <w:t xml:space="preserve">Критерии оценки</w:t>
      </w:r>
    </w:p>
    <w:p>
      <w:pPr/>
      <w:r>
        <w:rPr>
          <w:rFonts w:ascii="Times New Roman" w:hAnsi="Times New Roman" w:eastAsia="Times New Roman" w:cs="Times New Roman"/>
          <w:color w:val="000000"/>
          <w:sz w:val="28"/>
          <w:szCs w:val="28"/>
          <w:b w:val="0"/>
          <w:bCs w:val="0"/>
        </w:rPr>
        <w:t xml:space="preserve">Предмет оценки: «Уметь осуществлять регламентные работы по техническому обслуживанию телекоммуникационного оборудования согласно регламентирующих документов»</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 Изучение технических характеристик, устройства анализатора спектра FPL1007 и принципа работы основных его узлов.
2.  Провести проверку калибровки и селекцию высоких уровней, составляющих спектра собственных шумов анализатора спектра.
3. Провести наблюдение спектров периодических сигналов различной формы, овладеть техникой измерений спектральных составляющих исследуемых сигналов с помощью анализатора спектра FPL1007.</w:t>
            </w:r>
          </w:p>
        </w:tc>
        <w:tc>
          <w:tcPr>
            <w:tcW w:w="6000" w:type="dxa"/>
          </w:tcPr>
          <w:p>
            <w:pPr/>
            <w:r>
              <w:rPr>
                <w:rFonts w:ascii="Times New Roman" w:hAnsi="Times New Roman" w:eastAsia="Times New Roman" w:cs="Times New Roman"/>
                <w:color w:val="000000"/>
                <w:sz w:val="28"/>
                <w:szCs w:val="28"/>
                <w:b w:val="0"/>
                <w:bCs w:val="0"/>
              </w:rPr>
              <w:t xml:space="preserve">Подготовка, планирование и проведение регламентных  работ согласно регламентирующих документов.</w:t>
            </w:r>
          </w:p>
        </w:tc>
      </w:tr>
    </w:tbl>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9</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Задание на применение умений и навыков в реальных или модельных условиях</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Анализ структурных, принципиальных и монтажных схем телекоммуникационного оборудования беспроводных сетей</w:t>
      </w:r>
    </w:p>
    <w:p>
      <w:pPr/>
      <w:r>
        <w:rPr>
          <w:b w:val="1"/>
          <w:bCs w:val="1"/>
        </w:rPr>
        <w:t xml:space="preserve">1. </w:t>
      </w:r>
      <w:r>
        <w:rPr/>
        <w:t xml:space="preserve">Провести проверку внешнего вида кабелей и разъемов коммуникационного оборудования согласно инструкциям по эксплуатации и монтажу.</w:t>
      </w:r>
    </w:p>
    <w:p>
      <w:pPr/>
      <w:r>
        <w:rPr>
          <w:b w:val="1"/>
          <w:bCs w:val="1"/>
        </w:rPr>
        <w:t xml:space="preserve">2.</w:t>
      </w:r>
      <w:r>
        <w:rPr/>
        <w:t xml:space="preserve"> Провести монтаж и проверку подключения силового кабеля с помощью мультиметра.</w:t>
      </w:r>
    </w:p>
    <w:p>
      <w:pPr/>
      <w:r>
        <w:rPr>
          <w:b w:val="1"/>
          <w:bCs w:val="1"/>
        </w:rPr>
        <w:t xml:space="preserve">3.</w:t>
      </w:r>
      <w:r>
        <w:rPr/>
        <w:t xml:space="preserve"> Выполнить монтаж экранированного разъема RJ45 и кабеля Ethernet, проверку подключения с помощью LAN тестера и мультиметра.</w:t>
      </w:r>
    </w:p>
    <w:p>
      <w:pPr/>
      <w:r>
        <w:rPr>
          <w:b w:val="1"/>
          <w:bCs w:val="1"/>
        </w:rPr>
        <w:t xml:space="preserve">4.</w:t>
      </w:r>
      <w:r>
        <w:rPr/>
        <w:t xml:space="preserve"> Выполнить монтаж прямого штыревого коаксиального разъема N и кабеля RG8U и провести проверку с помощью мультиметра.</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Аудитория для практических занятий</w:t>
      </w:r>
    </w:p>
    <w:p>
      <w:pPr/>
      <w:r>
        <w:rPr>
          <w:rFonts w:ascii="Times New Roman" w:hAnsi="Times New Roman" w:eastAsia="Times New Roman" w:cs="Times New Roman"/>
          <w:color w:val="000000"/>
          <w:sz w:val="28"/>
          <w:szCs w:val="28"/>
          <w:b w:val="0"/>
          <w:bCs w:val="0"/>
        </w:rPr>
        <w:t xml:space="preserve">Максимальное время выполнения: 40 минут</w:t>
      </w:r>
    </w:p>
    <w:p>
      <w:pPr/>
      <w:r>
        <w:rPr>
          <w:rFonts w:ascii="Times New Roman" w:hAnsi="Times New Roman" w:eastAsia="Times New Roman" w:cs="Times New Roman"/>
          <w:color w:val="000000"/>
          <w:sz w:val="28"/>
          <w:szCs w:val="28"/>
          <w:b w:val="1"/>
          <w:bCs w:val="1"/>
        </w:rPr>
        <w:t xml:space="preserve">Критерии оценки</w:t>
      </w:r>
    </w:p>
    <w:p>
      <w:pPr/>
      <w:r>
        <w:rPr>
          <w:rFonts w:ascii="Times New Roman" w:hAnsi="Times New Roman" w:eastAsia="Times New Roman" w:cs="Times New Roman"/>
          <w:color w:val="000000"/>
          <w:sz w:val="28"/>
          <w:szCs w:val="28"/>
          <w:b w:val="0"/>
          <w:bCs w:val="0"/>
        </w:rPr>
        <w:t xml:space="preserve">Предмет оценки: «Уметь осуществлять обнаружение, локализацию и устранение неисправностей телекоммуникационного оборудования согласно регламентирующих документов»</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 Провести проверку внешнего вида кабелей и разъемов коммуникационного оборудования согласно инструкциям по эксплуатации и монтажу.
2. Провести монтаж и проверку подключения силового кабеля с помощью мультиметра.
3. Выполнить монтаж экранированного разъема RJ45 и кабеля Ethernet, проверку подключения с помощью LAN тестера и мультиметра.
4. Выполнить монтаж прямого штыревого коаксиального разъема N и кабеля RG8U и провести проверку с помощью мультиметра.</w:t>
            </w:r>
          </w:p>
        </w:tc>
        <w:tc>
          <w:tcPr>
            <w:tcW w:w="6000" w:type="dxa"/>
          </w:tcPr>
          <w:p>
            <w:pPr/>
            <w:r>
              <w:rPr>
                <w:rFonts w:ascii="Times New Roman" w:hAnsi="Times New Roman" w:eastAsia="Times New Roman" w:cs="Times New Roman"/>
                <w:color w:val="000000"/>
                <w:sz w:val="28"/>
                <w:szCs w:val="28"/>
                <w:b w:val="0"/>
                <w:bCs w:val="0"/>
              </w:rPr>
              <w:t xml:space="preserve">Подготовка, планирование и проведение работ по обнаружению, локализации и устранению неисправностей согласно регламентирующих документов</w:t>
            </w:r>
          </w:p>
        </w:tc>
      </w:tr>
    </w:tbl>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10</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Задание на применение умений и навыков в реальных или модельных условиях</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Изучить утвержденный план реагирования на киберугрозы и отработать сценарии его выполнения.</w:t>
      </w:r>
    </w:p>
    <w:p>
      <w:pPr/>
      <w:r>
        <w:rPr>
          <w:b w:val="1"/>
          <w:bCs w:val="1"/>
        </w:rPr>
        <w:t xml:space="preserve">1.</w:t>
      </w:r>
      <w:r>
        <w:rPr/>
        <w:t xml:space="preserve"> Ознакомиться с планом реагирования на киберугрозы.</w:t>
      </w:r>
    </w:p>
    <w:p>
      <w:pPr/>
      <w:r>
        <w:rPr>
          <w:b w:val="1"/>
          <w:bCs w:val="1"/>
        </w:rPr>
        <w:t xml:space="preserve">2.</w:t>
      </w:r>
      <w:r>
        <w:rPr/>
        <w:t xml:space="preserve"> Обсудить потенциальные киберугрозы при обмене данными между ЦДУ и экипажем МАНС</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Аудитория для практических занятий</w:t>
      </w:r>
    </w:p>
    <w:p>
      <w:pPr/>
      <w:r>
        <w:rPr>
          <w:rFonts w:ascii="Times New Roman" w:hAnsi="Times New Roman" w:eastAsia="Times New Roman" w:cs="Times New Roman"/>
          <w:color w:val="000000"/>
          <w:sz w:val="28"/>
          <w:szCs w:val="28"/>
          <w:b w:val="0"/>
          <w:bCs w:val="0"/>
        </w:rPr>
        <w:t xml:space="preserve">Максимальное время выполнения: 40 минут</w:t>
      </w:r>
    </w:p>
    <w:p>
      <w:pPr/>
      <w:r>
        <w:rPr>
          <w:rFonts w:ascii="Times New Roman" w:hAnsi="Times New Roman" w:eastAsia="Times New Roman" w:cs="Times New Roman"/>
          <w:color w:val="000000"/>
          <w:sz w:val="28"/>
          <w:szCs w:val="28"/>
          <w:b w:val="1"/>
          <w:bCs w:val="1"/>
        </w:rPr>
        <w:t xml:space="preserve">Критерии оценки</w:t>
      </w:r>
    </w:p>
    <w:p>
      <w:pPr/>
      <w:r>
        <w:rPr>
          <w:rFonts w:ascii="Times New Roman" w:hAnsi="Times New Roman" w:eastAsia="Times New Roman" w:cs="Times New Roman"/>
          <w:color w:val="000000"/>
          <w:sz w:val="28"/>
          <w:szCs w:val="28"/>
          <w:b w:val="0"/>
          <w:bCs w:val="0"/>
        </w:rPr>
        <w:t xml:space="preserve">Предмет оценки: «Уметь выполнять план реагирования на киберинциденты в соответствии с утвержденными нормативными документами»</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Ознакомиться с планом реагирования на киберугрозы</w:t>
            </w:r>
          </w:p>
        </w:tc>
        <w:tc>
          <w:tcPr>
            <w:tcW w:w="6000" w:type="dxa"/>
          </w:tcPr>
          <w:p>
            <w:pPr/>
            <w:r>
              <w:rPr>
                <w:rFonts w:ascii="Times New Roman" w:hAnsi="Times New Roman" w:eastAsia="Times New Roman" w:cs="Times New Roman"/>
                <w:color w:val="000000"/>
                <w:sz w:val="28"/>
                <w:szCs w:val="28"/>
                <w:b w:val="0"/>
                <w:bCs w:val="0"/>
              </w:rPr>
              <w:t xml:space="preserve">Слушатели в полном объеме перечисляют потенциальные киберугрозы при обмене данными между ЦДУ и экипажем МАНС и указывают верный план реагирования на каждый киберинцидент</w:t>
            </w:r>
          </w:p>
        </w:tc>
      </w:tr>
    </w:tbl>
    <w:p>
      <w:pPr/>
      <w:r>
        <w:rPr>
          <w:rFonts w:ascii="Times New Roman" w:hAnsi="Times New Roman" w:eastAsia="Times New Roman" w:cs="Times New Roman"/>
          <w:color w:val="000000"/>
          <w:sz w:val="28"/>
          <w:szCs w:val="28"/>
          <w:b w:val="0"/>
          <w:bCs w:val="0"/>
        </w:rPr>
        <w:t xml:space="preserve">Предмет оценки: «Уметь выполнять базовые действия по устранению киберугрозы в соответствии с утвержденными нормативными документами»</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Обсудить потенциальные киберугрозы при обмене данными между ЦДУ и экипажем МАНС</w:t>
            </w:r>
          </w:p>
        </w:tc>
        <w:tc>
          <w:tcPr>
            <w:tcW w:w="6000" w:type="dxa"/>
          </w:tcPr>
          <w:p>
            <w:pPr/>
            <w:r>
              <w:rPr>
                <w:rFonts w:ascii="Times New Roman" w:hAnsi="Times New Roman" w:eastAsia="Times New Roman" w:cs="Times New Roman"/>
                <w:color w:val="000000"/>
                <w:sz w:val="28"/>
                <w:szCs w:val="28"/>
                <w:b w:val="0"/>
                <w:bCs w:val="0"/>
              </w:rPr>
              <w:t xml:space="preserve">Слушатели в полном объеме перечисляют потенциальные киберугрозы при обмене данными между ЦДУ и экипажем МАНС и указывают верный план реагирования на каждый киберинцидент</w:t>
            </w:r>
          </w:p>
        </w:tc>
      </w:tr>
    </w:tbl>
    <w:p>
      <w:pPr/>
      <w:r>
        <w:rPr>
          <w:rFonts w:ascii="Times New Roman" w:hAnsi="Times New Roman" w:eastAsia="Times New Roman" w:cs="Times New Roman"/>
          <w:color w:val="000000"/>
          <w:sz w:val="28"/>
          <w:szCs w:val="28"/>
          <w:b w:val="0"/>
          <w:bCs w:val="0"/>
        </w:rPr>
        <w:t xml:space="preserve"/>
      </w:r>
    </w:p>
    <w:p>
      <w:pPr/>
      <w:r>
        <w:rPr>
          <w:rFonts w:ascii="Times New Roman" w:hAnsi="Times New Roman" w:eastAsia="Times New Roman" w:cs="Times New Roman"/>
          <w:color w:val="000000"/>
          <w:sz w:val="28"/>
          <w:szCs w:val="28"/>
          <w:b w:val="1"/>
          <w:bCs w:val="1"/>
        </w:rPr>
        <w:t xml:space="preserve">Задание № 11</w:t>
      </w:r>
    </w:p>
    <w:p>
      <w:pPr/>
      <w:r>
        <w:rPr>
          <w:rFonts w:ascii="Times New Roman" w:hAnsi="Times New Roman" w:eastAsia="Times New Roman" w:cs="Times New Roman"/>
          <w:color w:val="000000"/>
          <w:sz w:val="28"/>
          <w:szCs w:val="28"/>
          <w:b w:val="1"/>
          <w:bCs w:val="1"/>
        </w:rPr>
        <w:t xml:space="preserve">Тип задания</w:t>
      </w:r>
    </w:p>
    <w:p>
      <w:pPr/>
      <w:r>
        <w:rPr>
          <w:rFonts w:ascii="Times New Roman" w:hAnsi="Times New Roman" w:eastAsia="Times New Roman" w:cs="Times New Roman"/>
          <w:color w:val="000000"/>
          <w:sz w:val="28"/>
          <w:szCs w:val="28"/>
          <w:b w:val="0"/>
          <w:bCs w:val="0"/>
        </w:rPr>
        <w:t xml:space="preserve">Задание на применение умений и навыков в реальных или модельных условиях</w:t>
      </w:r>
    </w:p>
    <w:p>
      <w:pPr/>
      <w:r>
        <w:rPr>
          <w:rFonts w:ascii="Times New Roman" w:hAnsi="Times New Roman" w:eastAsia="Times New Roman" w:cs="Times New Roman"/>
          <w:color w:val="000000"/>
          <w:sz w:val="28"/>
          <w:szCs w:val="28"/>
          <w:b w:val="1"/>
          <w:bCs w:val="1"/>
        </w:rPr>
        <w:t xml:space="preserve">Описание ситуации и постановка задачи</w:t>
      </w:r>
    </w:p>
    <w:p>
      <w:pPr/>
      <w:r>
        <w:rPr>
          <w:b w:val="1"/>
          <w:bCs w:val="1"/>
        </w:rPr>
        <w:t xml:space="preserve">Изучить возможности СЗИ по детектированию вторжений на защищенный компьютер.</w:t>
      </w:r>
    </w:p>
    <w:p>
      <w:pPr/>
      <w:r>
        <w:rPr>
          <w:b w:val="1"/>
          <w:bCs w:val="1"/>
        </w:rPr>
        <w:t xml:space="preserve">1.</w:t>
      </w:r>
      <w:r>
        <w:rPr/>
        <w:t xml:space="preserve"> Просмотреть статистику сетевых атак средствами СЗИ.</w:t>
      </w:r>
    </w:p>
    <w:p>
      <w:pPr/>
      <w:r>
        <w:rPr>
          <w:b w:val="1"/>
          <w:bCs w:val="1"/>
        </w:rPr>
        <w:t xml:space="preserve">2. </w:t>
      </w:r>
      <w:r>
        <w:rPr/>
        <w:t xml:space="preserve">Изучить статистику обновлений.</w:t>
      </w:r>
    </w:p>
    <w:p>
      <w:pPr/>
      <w:r>
        <w:rPr>
          <w:b w:val="1"/>
          <w:bCs w:val="1"/>
        </w:rPr>
        <w:t xml:space="preserve">3.</w:t>
      </w:r>
      <w:r>
        <w:rPr/>
        <w:t xml:space="preserve"> Изучить статистику работы портов TCP и UDP.</w:t>
      </w:r>
    </w:p>
    <w:p>
      <w:pPr/>
      <w:r>
        <w:rPr>
          <w:b w:val="1"/>
          <w:bCs w:val="1"/>
        </w:rPr>
        <w:t xml:space="preserve">4.</w:t>
      </w:r>
      <w:r>
        <w:rPr/>
        <w:t xml:space="preserve"> Изучить содержимое журналов входов, печати, ресурсов.</w:t>
      </w:r>
    </w:p>
    <w:p>
      <w:pPr/>
      <w:r>
        <w:rPr>
          <w:rFonts w:ascii="Times New Roman" w:hAnsi="Times New Roman" w:eastAsia="Times New Roman" w:cs="Times New Roman"/>
          <w:color w:val="000000"/>
          <w:sz w:val="28"/>
          <w:szCs w:val="28"/>
          <w:b w:val="1"/>
          <w:bCs w:val="1"/>
        </w:rPr>
        <w:t xml:space="preserve">Место выполнения</w:t>
      </w:r>
    </w:p>
    <w:p>
      <w:pPr/>
      <w:r>
        <w:rPr>
          <w:rFonts w:ascii="Times New Roman" w:hAnsi="Times New Roman" w:eastAsia="Times New Roman" w:cs="Times New Roman"/>
          <w:color w:val="000000"/>
          <w:sz w:val="28"/>
          <w:szCs w:val="28"/>
          <w:b w:val="0"/>
          <w:bCs w:val="0"/>
        </w:rPr>
        <w:t xml:space="preserve">Аудитория для практических занятий</w:t>
      </w:r>
    </w:p>
    <w:p>
      <w:pPr/>
      <w:r>
        <w:rPr>
          <w:rFonts w:ascii="Times New Roman" w:hAnsi="Times New Roman" w:eastAsia="Times New Roman" w:cs="Times New Roman"/>
          <w:color w:val="000000"/>
          <w:sz w:val="28"/>
          <w:szCs w:val="28"/>
          <w:b w:val="0"/>
          <w:bCs w:val="0"/>
        </w:rPr>
        <w:t xml:space="preserve">Максимальное время выполнения: 40 минут</w:t>
      </w:r>
    </w:p>
    <w:p>
      <w:pPr/>
      <w:r>
        <w:rPr>
          <w:rFonts w:ascii="Times New Roman" w:hAnsi="Times New Roman" w:eastAsia="Times New Roman" w:cs="Times New Roman"/>
          <w:color w:val="000000"/>
          <w:sz w:val="28"/>
          <w:szCs w:val="28"/>
          <w:b w:val="1"/>
          <w:bCs w:val="1"/>
        </w:rPr>
        <w:t xml:space="preserve">Критерии оценки</w:t>
      </w:r>
    </w:p>
    <w:p>
      <w:pPr/>
      <w:r>
        <w:rPr>
          <w:rFonts w:ascii="Times New Roman" w:hAnsi="Times New Roman" w:eastAsia="Times New Roman" w:cs="Times New Roman"/>
          <w:color w:val="000000"/>
          <w:sz w:val="28"/>
          <w:szCs w:val="28"/>
          <w:b w:val="0"/>
          <w:bCs w:val="0"/>
        </w:rPr>
        <w:t xml:space="preserve">Предмет оценки: «Уметь детектировать кибератаку в соответствии с утвержденными нормативными документами»</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Объект оценки</w:t>
            </w:r>
          </w:p>
        </w:tc>
        <w:tc>
          <w:tcPr>
            <w:tcW w:w="6000" w:type="dxa"/>
          </w:tcPr>
          <w:p>
            <w:pPr/>
            <w:r>
              <w:rPr>
                <w:rFonts w:ascii="Times New Roman" w:hAnsi="Times New Roman" w:eastAsia="Times New Roman" w:cs="Times New Roman"/>
                <w:color w:val="000000"/>
                <w:sz w:val="28"/>
                <w:szCs w:val="28"/>
                <w:b w:val="0"/>
                <w:bCs w:val="0"/>
              </w:rPr>
              <w:t xml:space="preserve">Модельный элемент</w:t>
            </w:r>
          </w:p>
        </w:tc>
      </w:tr>
      <w:tr>
        <w:trPr/>
        <w:tc>
          <w:tcPr>
            <w:tcW w:w="6000" w:type="dxa"/>
          </w:tcPr>
          <w:p>
            <w:pPr/>
            <w:r>
              <w:rPr>
                <w:rFonts w:ascii="Times New Roman" w:hAnsi="Times New Roman" w:eastAsia="Times New Roman" w:cs="Times New Roman"/>
                <w:color w:val="000000"/>
                <w:sz w:val="28"/>
                <w:szCs w:val="28"/>
                <w:b w:val="0"/>
                <w:bCs w:val="0"/>
              </w:rPr>
              <w:t xml:space="preserve">1. Просмотреть статистику сетевых атак средствами СЗИ.
2. Изучить статистику обновлений.
3. Изучить статистику работы портов TCP и UDP.
4. Изучить содержимое журналов входов, печати, ресурсов.</w:t>
            </w:r>
          </w:p>
        </w:tc>
        <w:tc>
          <w:tcPr>
            <w:tcW w:w="6000" w:type="dxa"/>
          </w:tcPr>
          <w:p>
            <w:pPr/>
            <w:r>
              <w:rPr>
                <w:rFonts w:ascii="Times New Roman" w:hAnsi="Times New Roman" w:eastAsia="Times New Roman" w:cs="Times New Roman"/>
                <w:color w:val="000000"/>
                <w:sz w:val="28"/>
                <w:szCs w:val="28"/>
                <w:b w:val="0"/>
                <w:bCs w:val="0"/>
              </w:rPr>
              <w:t xml:space="preserve">Подготовка, планирование и проведение операций с СЗИ в соответствии с инструкцией: 
- без ошибок выполнен доступ к статистикам сетевых атак, обновлений и портов;
- доступ к журналам входов, печати и ресурсов выполнен верно.</w:t>
            </w:r>
          </w:p>
        </w:tc>
      </w:tr>
    </w:tbl>
    <w:p>
      <w:pPr/>
      <w:r>
        <w:rPr>
          <w:rFonts w:ascii="Times New Roman" w:hAnsi="Times New Roman" w:eastAsia="Times New Roman" w:cs="Times New Roman"/>
          <w:color w:val="000000"/>
          <w:sz w:val="28"/>
          <w:szCs w:val="28"/>
          <w:b w:val="0"/>
          <w:bCs w:val="0"/>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0210C5E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2FD1EC0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8"/>
        <w:szCs w:val="28"/>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2022-10-09T12:05:09+00:00</dcterms:created>
  <dcterms:modified xsi:type="dcterms:W3CDTF">2022-10-09T12:05:09+00:00</dcterms:modified>
</cp:coreProperties>
</file>

<file path=docProps/custom.xml><?xml version="1.0" encoding="utf-8"?>
<Properties xmlns="http://schemas.openxmlformats.org/officeDocument/2006/custom-properties" xmlns:vt="http://schemas.openxmlformats.org/officeDocument/2006/docPropsVTypes"/>
</file>