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07D0BD1E" w14:textId="44810845" w:rsidR="00514D65" w:rsidRPr="00B11397" w:rsidRDefault="00E94575" w:rsidP="00E17C2B">
            <w:pPr>
              <w:spacing w:line="360" w:lineRule="auto"/>
              <w:jc w:val="both"/>
              <w:rPr>
                <w:sz w:val="28"/>
                <w:szCs w:val="28"/>
              </w:rPr>
            </w:pPr>
            <w:r w:rsidRPr="00B11397">
              <w:rPr>
                <w:sz w:val="28"/>
                <w:szCs w:val="28"/>
              </w:rPr>
              <w:t>Проректор</w:t>
            </w:r>
          </w:p>
          <w:p w14:paraId="6DF3CB1D" w14:textId="77777777" w:rsidR="00514D65" w:rsidRPr="00B11397" w:rsidRDefault="00514D65" w:rsidP="00E17C2B">
            <w:pPr>
              <w:spacing w:line="360" w:lineRule="auto"/>
              <w:jc w:val="both"/>
              <w:rPr>
                <w:sz w:val="28"/>
                <w:szCs w:val="28"/>
              </w:rPr>
            </w:pPr>
          </w:p>
          <w:p w14:paraId="3CC3FF9C" w14:textId="65B9181A" w:rsidR="00514D65" w:rsidRPr="00B11397" w:rsidRDefault="00514D65" w:rsidP="00E17C2B">
            <w:pPr>
              <w:spacing w:line="360" w:lineRule="auto"/>
              <w:jc w:val="both"/>
              <w:rPr>
                <w:sz w:val="28"/>
                <w:szCs w:val="28"/>
              </w:rPr>
            </w:pPr>
            <w:r w:rsidRPr="00B11397">
              <w:rPr>
                <w:sz w:val="28"/>
                <w:szCs w:val="28"/>
              </w:rPr>
              <w:t xml:space="preserve">____________ </w:t>
            </w:r>
            <w:r w:rsidR="00E94575" w:rsidRPr="00B11397">
              <w:rPr>
                <w:sz w:val="28"/>
                <w:szCs w:val="28"/>
              </w:rPr>
              <w:t>В</w:t>
            </w:r>
            <w:r w:rsidRPr="00B11397">
              <w:rPr>
                <w:sz w:val="28"/>
                <w:szCs w:val="28"/>
              </w:rPr>
              <w:t>.</w:t>
            </w:r>
            <w:r w:rsidR="00E94575" w:rsidRPr="00B11397">
              <w:rPr>
                <w:sz w:val="28"/>
                <w:szCs w:val="28"/>
              </w:rPr>
              <w:t>В</w:t>
            </w:r>
            <w:r w:rsidRPr="00B11397">
              <w:rPr>
                <w:sz w:val="28"/>
                <w:szCs w:val="28"/>
              </w:rPr>
              <w:t xml:space="preserve">. </w:t>
            </w:r>
            <w:r w:rsidR="00E94575" w:rsidRPr="00B11397">
              <w:rPr>
                <w:sz w:val="28"/>
                <w:szCs w:val="28"/>
              </w:rPr>
              <w:t>Борщ</w:t>
            </w:r>
          </w:p>
          <w:p w14:paraId="4631E90D" w14:textId="77777777" w:rsidR="00514D65" w:rsidRPr="00B11397" w:rsidRDefault="00514D65" w:rsidP="00E17C2B">
            <w:pPr>
              <w:spacing w:line="360" w:lineRule="auto"/>
              <w:jc w:val="both"/>
              <w:rPr>
                <w:sz w:val="28"/>
                <w:szCs w:val="28"/>
              </w:rPr>
            </w:pPr>
          </w:p>
          <w:p w14:paraId="03C66859" w14:textId="4B5CF83F" w:rsidR="00514D65" w:rsidRPr="00B11397" w:rsidRDefault="00514D65" w:rsidP="00E17C2B">
            <w:pPr>
              <w:spacing w:line="360" w:lineRule="auto"/>
              <w:jc w:val="both"/>
              <w:rPr>
                <w:sz w:val="28"/>
                <w:szCs w:val="28"/>
              </w:rPr>
            </w:pPr>
            <w:r w:rsidRPr="00B11397">
              <w:rPr>
                <w:sz w:val="28"/>
                <w:szCs w:val="28"/>
              </w:rPr>
              <w:t>«____» ____________20</w:t>
            </w:r>
            <w:r w:rsidR="00A6744A" w:rsidRPr="00B11397">
              <w:rPr>
                <w:sz w:val="28"/>
                <w:szCs w:val="28"/>
              </w:rPr>
              <w:t>2</w:t>
            </w:r>
            <w:r w:rsidR="00822F13" w:rsidRPr="00B11397">
              <w:rPr>
                <w:sz w:val="28"/>
                <w:szCs w:val="28"/>
              </w:rPr>
              <w:t xml:space="preserve">2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0" w:name="_Hlk122270586"/>
      <w:r w:rsidRPr="00B11397">
        <w:rPr>
          <w:bCs/>
          <w:sz w:val="28"/>
          <w:szCs w:val="28"/>
        </w:rPr>
        <w:t>«</w:t>
      </w:r>
      <w:r w:rsidR="009E760D" w:rsidRPr="00B11397">
        <w:rPr>
          <w:bCs/>
          <w:sz w:val="28"/>
          <w:szCs w:val="28"/>
        </w:rPr>
        <w:t>(старый)_Повышение квалификации вахтенного помощника капитана в области эксплуатации полуавтономных судов</w:t>
      </w:r>
      <w:r w:rsidRPr="00B11397">
        <w:rPr>
          <w:bCs/>
          <w:sz w:val="28"/>
          <w:szCs w:val="28"/>
        </w:rPr>
        <w:t>»</w:t>
      </w:r>
    </w:p>
    <w:bookmarkEnd w:id="0"/>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(старый)_Повышение квалификации вахтенного помощника капитана в области эксплуатации полуавтономных судов</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Дополнительная профессиональная программа – программа повышения квалификации «Повышение квалификации вахтенного помощника капитана в области эксплуатации полуавтономных судов» (далее - Программа) направлена на подготовку вахтенных помощников капитана для эксплуатации полуавтономных судов, т.е. судов, способных осуществлять плавание без постоянного контроля за судовыми машинами, механизмами и приборами со стороны экипажа судна (без несения ходовой вахты), а также без постоянного управления движением судна силами экипажа, который ведет общее наблюдение за судном и в случае необходимости осуществляет управление судном, принимает меры по восстановлению нормальной работы судовых машин, механизмов и приборов. 
Актуальность программы обусловлена тем, что суда, способные осуществлять плавание без постоянного управления движением судна силами экипажа, необходимы бизнесу, ведь по морю проходит около 90% коммерческих транспортных потоков. В большинстве случаев речь идет о полуавтономных судах, для эксплуатации которых не требуется значительной реконструкции имеющихся технических средств портовых систем управления движением судов. При этом экипаж полуавтономного судна может состоять из ограниченного числа специалистов, функции которых отличаются от функций, исполняемых членами экипажа неавтономного судна.  
Программа повышения квалификации разработана с учетом последних изменений нормативно-правовой базы и имеет целью формирование компетенций, необходимых для выполнения функций вахтенного помощника капитана полуавтономного судна.</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2A3C9E2D" w14:textId="77777777" w:rsidR="00801E1D" w:rsidRPr="00B11397" w:rsidRDefault="00801E1D" w:rsidP="00E17C2B">
      <w:pPr>
        <w:tabs>
          <w:tab w:val="left" w:pos="709"/>
        </w:tabs>
        <w:spacing w:after="120" w:line="276" w:lineRule="auto"/>
        <w:rPr>
          <w:sz w:val="28"/>
          <w:szCs w:val="28"/>
        </w:rPr>
      </w:pPr>
    </w:p>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Аристова Дарья Александровна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общей характеристики ДПП, разработка оценочных и методических материалов</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Семина Ирина Викторовна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общей характеристики ДПП, разработка оценочных и методических материалов</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Федорова Ольга Владимировна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общей характеристики ДПП, разработка оценочных и методических материалов</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кандидат технических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Алексеев Виктор Валерьевич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методических материалов</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Соколова Ирина Ивановна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Макеева Елена Захаровна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Гринчар Николай Николаевич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Соловьев Андрей Дмитриевич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Леонова Анна Владимировна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Костюлин Иван Алексеевич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Боков Константин Андреевич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Рудницкая Анастасия Витальевна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Егоров Сергей Владимирович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Шационок Павел Васильевич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Миронова Екатерина Николаевна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Коккозова Зарема Мавлимбердиевна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Ваняшина Любовь Артемовна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Соловьев Анатолий Дмитриевич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1" w:name="_Toc98934001"/>
      <w:r w:rsidRPr="00B11397">
        <w:lastRenderedPageBreak/>
        <w:t>Содержание</w:t>
      </w:r>
      <w:bookmarkEnd w:id="1"/>
    </w:p>
    <w:sdt>
      <w:sdtPr>
        <w:id w:val="268227696"/>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2" w:name="_Toc98934593"/>
      <w:bookmarkStart w:id="3" w:name="_Toc126073473"/>
      <w:r w:rsidRPr="00B11397">
        <w:lastRenderedPageBreak/>
        <w:t>Общая характеристика программы</w:t>
      </w:r>
      <w:bookmarkEnd w:id="2"/>
      <w:bookmarkEnd w:id="3"/>
    </w:p>
    <w:p w14:paraId="1F2B2999" w14:textId="075CC3BD" w:rsidR="00182F18" w:rsidRPr="00B11397" w:rsidRDefault="00F670D5" w:rsidP="00E17C2B">
      <w:pPr>
        <w:pStyle w:val="2"/>
        <w:keepNext/>
        <w:widowControl/>
        <w:ind w:left="0" w:firstLine="709"/>
      </w:pPr>
      <w:bookmarkStart w:id="4" w:name="_Toc98934594"/>
      <w:bookmarkStart w:id="5" w:name="_Toc126073474"/>
      <w:r w:rsidRPr="00B11397">
        <w:t>Общие положения</w:t>
      </w:r>
      <w:bookmarkEnd w:id="4"/>
      <w:bookmarkEnd w:id="5"/>
    </w:p>
    <w:p w14:paraId="25B7317C" w14:textId="4D10CCAC" w:rsidR="00893C72" w:rsidRPr="00B11397" w:rsidRDefault="00893C72" w:rsidP="00E17C2B">
      <w:pPr>
        <w:pStyle w:val="3"/>
        <w:keepNext/>
        <w:widowControl/>
        <w:ind w:left="0" w:firstLine="709"/>
      </w:pPr>
      <w:bookmarkStart w:id="6" w:name="_Toc98934595"/>
      <w:bookmarkStart w:id="7" w:name="_Toc126073475"/>
      <w:r w:rsidRPr="00B11397">
        <w:t>Нормативные правовые основания разработки</w:t>
      </w:r>
      <w:bookmarkEnd w:id="6"/>
      <w:bookmarkEnd w:id="7"/>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(старый)_Повышение квалификации вахтенного помощника капитана в области эксплуатации полуавтономных судов</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r w:rsidRPr="00B11397">
        <w:rPr>
          <w:spacing w:val="-1"/>
          <w:sz w:val="28"/>
          <w:szCs w:val="22"/>
          <w:lang w:eastAsia="en-US"/>
        </w:rPr>
        <w:t>Минобрнауки</w:t>
      </w:r>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профессионального стандарта 17.096 Судоводитель, утв. приказом Минтруда России №745н от 29.11.2019.</w:t>
      </w:r>
    </w:p>
    <w:p w14:paraId="2F1A8913" w14:textId="77777777" w:rsidR="00893C72" w:rsidRPr="00B11397" w:rsidRDefault="00893C72" w:rsidP="00E17C2B">
      <w:pPr>
        <w:pStyle w:val="3"/>
        <w:keepNext/>
        <w:widowControl/>
        <w:ind w:left="0" w:firstLine="709"/>
      </w:pPr>
      <w:bookmarkStart w:id="8" w:name="_Toc98934596"/>
      <w:bookmarkStart w:id="9" w:name="_Toc126073476"/>
      <w:r w:rsidRPr="00B11397">
        <w:t>Требования к обучающимся</w:t>
      </w:r>
      <w:bookmarkEnd w:id="8"/>
      <w:bookmarkEnd w:id="9"/>
    </w:p>
    <w:p w14:paraId="6783C706" w14:textId="77777777" w:rsidR="009F2455" w:rsidRPr="00B11397" w:rsidRDefault="009F2455" w:rsidP="00E17C2B">
      <w:pPr>
        <w:pStyle w:val="TEXT"/>
      </w:pPr>
      <w:bookmarkStart w:id="10" w:name="_Toc122256433"/>
      <w:bookmarkStart w:id="11" w:name="_Toc122258082"/>
      <w:bookmarkStart w:id="12" w:name="_Toc98934597"/>
      <w:bookmarkStart w:id="13" w:name="_Toc126073477"/>
      <w:bookmarkEnd w:id="10"/>
      <w:bookmarkEnd w:id="11"/>
      <w:r w:rsidRPr="00B11397">
        <w:t>а) требования к уровню образования: лица, имеющие среднее профессиональное и (или) высшее образование; лица, получающие среднее профессиональное и (или) высшее образование..</w:t>
      </w:r>
    </w:p>
    <w:p w14:paraId="45770D6B" w14:textId="6B2E5397" w:rsidR="009F2455" w:rsidRPr="00B11397" w:rsidRDefault="009F2455" w:rsidP="00E17C2B">
      <w:pPr>
        <w:pStyle w:val="TEXT"/>
      </w:pPr>
      <w:r w:rsidRPr="00B11397">
        <w:t>б) требования к квалификации: 5-й уровень квалификации, включающий самостоятельную деятельность по решению практических задач в области судовождения, обработки и размещения грузов, безопасной перевозки пассажиров на судне, управления операциями судна и заботы о людях на уровне эксплуатации с непосредственным контролем за выполнением всех функций в пределах обозначенной области ответственности вахтенного помощника капитана.
Вахтенный помощник капитана морского судна валовой вместимостью 500 и более – уровень эксплуатации (Правило II/1 Конвенции ПДНВ). Опыт работы в должности вахтенного помощника капитана не менее трех лет, 12 месяцев из которых за последние 5 лет.</w:t>
      </w:r>
    </w:p>
    <w:p w14:paraId="040C8185" w14:textId="5A0F32CC" w:rsidR="00A57E74" w:rsidRPr="00B11397" w:rsidRDefault="00122E1C" w:rsidP="00E17C2B">
      <w:pPr>
        <w:pStyle w:val="3"/>
        <w:keepNext/>
        <w:widowControl/>
        <w:ind w:left="0" w:firstLine="709"/>
      </w:pPr>
      <w:r w:rsidRPr="00B11397">
        <w:t>Форма обучения</w:t>
      </w:r>
      <w:bookmarkEnd w:id="12"/>
      <w:bookmarkEnd w:id="13"/>
      <w:r w:rsidR="00893C72" w:rsidRPr="00B11397">
        <w:t xml:space="preserve"> </w:t>
      </w:r>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4" w:name="_bookmark8"/>
      <w:bookmarkEnd w:id="14"/>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5" w:name="_Toc98934598"/>
      <w:bookmarkStart w:id="16" w:name="_Toc126073478"/>
      <w:r w:rsidRPr="00B11397">
        <w:lastRenderedPageBreak/>
        <w:t>Трудоемкость</w:t>
      </w:r>
      <w:r w:rsidR="00E366CC" w:rsidRPr="00B11397">
        <w:t xml:space="preserve"> </w:t>
      </w:r>
      <w:r w:rsidRPr="00B11397">
        <w:t>освоения</w:t>
      </w:r>
      <w:bookmarkEnd w:id="15"/>
      <w:bookmarkEnd w:id="16"/>
    </w:p>
    <w:p w14:paraId="370211F0" w14:textId="6EB0E270"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72</w:t>
      </w:r>
      <w:r w:rsidRPr="00B11397">
        <w:t xml:space="preserve"> </w:t>
      </w:r>
      <w:proofErr w:type="spellStart"/>
      <w:r w:rsidR="00A57E74" w:rsidRPr="00B11397">
        <w:t>ак</w:t>
      </w:r>
      <w:proofErr w:type="spellEnd"/>
      <w:r w:rsidR="00A57E74" w:rsidRPr="00B11397">
        <w:t>. часов</w:t>
      </w:r>
      <w:r w:rsidR="006F1539" w:rsidRPr="00B11397">
        <w:t>.</w:t>
      </w:r>
    </w:p>
    <w:p w14:paraId="4C944E22" w14:textId="77777777" w:rsidR="00E1505E" w:rsidRPr="00B11397" w:rsidRDefault="00893C72" w:rsidP="00E17C2B">
      <w:pPr>
        <w:pStyle w:val="3"/>
        <w:keepNext/>
        <w:widowControl/>
        <w:ind w:left="0" w:firstLine="709"/>
      </w:pPr>
      <w:bookmarkStart w:id="17" w:name="_Toc98934599"/>
      <w:bookmarkStart w:id="18" w:name="_Toc126073479"/>
      <w:r w:rsidRPr="00B11397">
        <w:t>Срок освоения</w:t>
      </w:r>
      <w:bookmarkEnd w:id="17"/>
      <w:bookmarkEnd w:id="18"/>
    </w:p>
    <w:p w14:paraId="3387E25A" w14:textId="4D52754C" w:rsidR="000E0E30" w:rsidRPr="00B11397" w:rsidRDefault="000E0E30" w:rsidP="00E17C2B">
      <w:pPr>
        <w:pStyle w:val="TEXT"/>
      </w:pPr>
      <w:r w:rsidRPr="00B11397">
        <w:t>Срок освоения составляет 9 календарных</w:t>
      </w:r>
      <w:r w:rsidRPr="00B11397">
        <w:rPr>
          <w:spacing w:val="-2"/>
        </w:rPr>
        <w:t xml:space="preserve"> </w:t>
      </w:r>
      <w:r w:rsidRPr="00B11397">
        <w:t>дней для очной формы обучения и 18 календарных</w:t>
      </w:r>
      <w:r w:rsidRPr="00B11397">
        <w:rPr>
          <w:spacing w:val="-2"/>
        </w:rPr>
        <w:t xml:space="preserve"> </w:t>
      </w:r>
      <w:r w:rsidRPr="00B11397">
        <w:t>дней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19" w:name="_Toc98934600"/>
      <w:bookmarkStart w:id="20" w:name="_Toc126073480"/>
      <w:r w:rsidRPr="00B11397">
        <w:t>Цель и задачи</w:t>
      </w:r>
      <w:bookmarkEnd w:id="19"/>
      <w:bookmarkEnd w:id="20"/>
    </w:p>
    <w:p w14:paraId="2B4F18BE" w14:textId="008CBF8A" w:rsidR="00893C72" w:rsidRPr="00B11397" w:rsidRDefault="00893C72" w:rsidP="00E17C2B">
      <w:pPr>
        <w:pStyle w:val="3"/>
        <w:keepNext/>
        <w:widowControl/>
        <w:ind w:left="0" w:firstLine="709"/>
      </w:pPr>
      <w:bookmarkStart w:id="21" w:name="_Toc98934601"/>
      <w:bookmarkStart w:id="22" w:name="_Toc126073481"/>
      <w:r w:rsidRPr="00B11397">
        <w:t>Цель</w:t>
      </w:r>
      <w:bookmarkEnd w:id="21"/>
      <w:bookmarkEnd w:id="22"/>
    </w:p>
    <w:p w14:paraId="030A83F1" w14:textId="7FDE60F7" w:rsidR="00E1750A" w:rsidRPr="00B11397" w:rsidRDefault="00E86F96" w:rsidP="00E17C2B">
      <w:pPr>
        <w:pStyle w:val="TEXT"/>
      </w:pPr>
      <w:r w:rsidRPr="00B11397">
        <w:t>Целью обучения является повышение профессионального уровня в рамках имеющейся у обучающегося квалификации.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3" w:name="_Toc98934602"/>
      <w:bookmarkStart w:id="24" w:name="_Toc126073482"/>
      <w:r w:rsidRPr="00B11397">
        <w:t>Задачи</w:t>
      </w:r>
      <w:bookmarkEnd w:id="23"/>
      <w:bookmarkEnd w:id="24"/>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5" w:name="_Toc98934603"/>
      <w:bookmarkStart w:id="26"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5"/>
      <w:bookmarkEnd w:id="26"/>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осуществление мероприятий по готовности к киберинцидентам и реагированию на них  при эксплуатации полуавтономного судна в рамках утвержденного регламента в соответствии с требованиями МППСС, КТМ РФ и иных руководящих документов</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основные документы по кибербезопасности в морской отрасли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виды киберугроз</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проблемы и базовые принципы обеспечения информационной защиты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политику по кибербезопасности компании, системы управления безопасностью и планы охраны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план кибербезопасности судна и процедуры судоходной компании по управлению рисками информационной защиты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осуществления плана кибербезопасности судна и передачи сообщений об инцидентах, связанных с кибербезопасностью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повышению осведомленности о кибербезопасности на судне</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выявлять киберугрозы и реагировать на них в соответствии с процедурами системы управления безопасностью (СУБ) судовладельца</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обеспечивать управление судном в полуавтономном режиме в рамках утвержденного регламента в соответствии с требованиями МППСС, КТМ РФ и иных руководящих документов</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математические основы оптимизационных процессов управления, связанные с обеспечением навигационной безопасности судна, в том числе кибербезопасности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характеристики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систем принятия решений и их ограничения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учета работы СППР, использование СППР для принятия решений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построения автоматизированных систем контроля и управления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актуальные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переключения режимов управления на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взаимодействия с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нормативно-правовые акты, регламентирующие деятельность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Центром СУДС в повседневных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автоматизированные системы автономного судна</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управлять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обеспечивать адекватную идентификацию состояния и контроля движения судна в полуавтономном режиме управления в рамках утвержденного регламента в соответствии с требованиями МППСС, КТМ РФ и иных руководящих документов</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организационную структуру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автоматического распознавания навигационных опасностей оптическими системами, в том числе на дальних дистанциях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сбора и автоматизированной обработки навигационной информации по различным каналам связи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стандарты автоматического обмена данными между судовыми и береговыми системами а-Навигации и е-Навигации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технологии оптимизации передачи данных, включая видеоизображение в условиях ограниченной пропускной способности канала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понятия о конкордации, средства минимизации конкордационных рисков при удалённом управлении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ограничения передаваемой информации по сравнению с имеющейся на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методику обеспечения надлежащего уровня конкордации решений по управлению судном</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осуществлять контроль целостность передачи информации о навигационной обстановке и векторе состояния судна в центр дистанционного управления автономными судами в соответствии с регламентом службы МАНС судовладельца и процедурами руководств, а также положений нормативных и руководящих документов</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Pr>
                <w:rFonts w:ascii="Times New Roman" w:hAnsi="Times New Roman" w:eastAsia="Times New Roman" w:cs="Times New Roman"/>
                <w:color w:val="000000"/>
                <w:sz w:val="24"/>
                <w:szCs w:val="24"/>
                <w:b w:val="0"/>
                <w:bCs w:val="0"/>
              </w:rPr>
              <w:t xml:space="preserve">Все компетенции, перечисленные выше</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Сквозные знания: </w:t>
            </w:r>
            <w:br/>
            <w:r>
              <w:rPr>
                <w:rFonts w:ascii="Times New Roman" w:hAnsi="Times New Roman" w:eastAsia="Times New Roman" w:cs="Times New Roman"/>
                <w:color w:val="000000"/>
                <w:sz w:val="24"/>
                <w:szCs w:val="24"/>
                <w:b w:val="0"/>
                <w:bCs w:val="0"/>
              </w:rPr>
              <w:t xml:space="preserve">Знать изменения в международных морских конвенциях, рекомендации и национальное законодательство в области эксплуатации 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международную и национальную классификацию морских автономных надводных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нормативно-правового регулирования эксплуатации 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правовые нормы и границы юридической ответственности бортового экипажа полуавтономного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взаимодействия судовладельца и экипажа полуавтономного судна</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7" w:name="_bookmark9"/>
      <w:bookmarkStart w:id="28" w:name="_Toc98934604"/>
      <w:bookmarkStart w:id="29" w:name="_Toc126073484"/>
      <w:bookmarkEnd w:id="27"/>
      <w:r w:rsidRPr="00B11397">
        <w:lastRenderedPageBreak/>
        <w:t>Учебный план</w:t>
      </w:r>
      <w:bookmarkEnd w:id="28"/>
      <w:bookmarkEnd w:id="29"/>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ак.</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0" w:name="_bookmark10"/>
            <w:bookmarkStart w:id="31" w:name="_bookmark11"/>
            <w:bookmarkEnd w:id="30"/>
            <w:bookmarkEnd w:id="31"/>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Виды занятий, в т.ч.</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Нормативные аспекты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Изменения в международных морских конвенциях, рекомендации и национальное законодательство в области эксплуатации автономных судов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изменения в международных морских конвенциях, рекомендации и национальное законодательство в области эксплуатации автономных судов.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Система нормативно-правового регулирования эксплуатации автономных судов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систему нормативно-правового регулирования эксплуатации автономных судов.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 Правовые нормы и границы юридической ответственности бортового экипажа полуавтономного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правовые нормы и границы юридической ответственности бортового экипажа полуавтономного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 Международная и национальная классификация морских автономных надводных судов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международную и национальную классификацию морских автономных надводных судов.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Принципы организации структуры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Организационная структуру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организационную структуру МАНС.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Регламент взаимодействия судовладельца и экипажа полуавтономного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регламент взаимодействия судовладельца и экипажа полуавтономного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Математические основы средств автономности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Математические основы оптимизационных процессов управления, связанные с обеспечением навигационной безопасности судна, в том числе кибербезопасности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математические основы оптимизационных процессов управления, связанные с обеспечением навигационной безопасности судна, в том числе кибербезопасности.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Характеристики СППР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характеристики СППР.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Виды систем принятия решений и их ограничения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виды систем принятия решений и их ограничения.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3.4 Порядок учета работы СППР, использование СППР для принятия решений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учета работы СППР, использование СППР для принятия решений.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3.5 Принципы построения автоматизированных систем контроля и управления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построения автоматизированных систем контроля и управления.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3.6 Актуальные СППР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актуальные СППР.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3.7 Автоматизированные системы автономного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автоматизированные системы автономного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Технические средства судовождения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9.5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контроль целостность передачи информации о навигационной обстановке и векторе состояния судна в центр дистанционного управления автономными судами в соответствии с регламентом службы МАНС судовладельца и процедурами руководств, а также положений нормативных и руководящих документов.</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 Общие понятия о конкордации, средства минимизации конкордационных рисков при удалённом управлении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понятия о конкордации, средства минимизации конкордационных рисков при удалённом управлении.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 Методика обеспечения надлежащего уровня конкордации решений по управлению судном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методику обеспечения надлежащего уровня конкордации решений по управлению судном.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 Ограничения передаваемой информации по сравнению с имеющейся на судне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ограничения передаваемой информации по сравнению с имеющейся на судне.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контроль целостность передачи информации о навигационной обстановке и векторе состояния судна в центр дистанционного управления автономными судами в соответствии с регламентом службы МАНС судовладельца и процедурами руководств, а также положений нормативных и руководящих документов.</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 Информационные потоки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10</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 Процедуры сбора и автоматизированной обработки навигационной информации по различным каналам связи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сбора и автоматизированной обработки навигационной информации по различным каналам связи.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5.2 Технологии оптимизации передачи данных, включая видеоизображение в условиях ограниченной пропускной способности канала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технологии оптимизации передачи данных, включая видеоизображение в условиях ограниченной пропускной способности канала.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контроль целостность передачи информации о навигационной обстановке и векторе состояния судна в центр дистанционного управления автономными судами в соответствии с регламентом службы МАНС судовладельца и процедурами руководств, а также положений нормативных и руководящих документов.</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5.3 Стандарты автоматического обмена данными между судовыми и береговыми системами а-Навигации и е-Навигации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стандарты автоматического обмена данными между судовыми и береговыми системами а-Навигации и е-Навигации.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5.4 Принципы автоматического распознавания навигационных опасностей оптическими системами, в том числе на дальних дистанциях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автоматического распознавания навигационных опасностей оптическими системами, в том числе на дальних дистанциях.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контроль целостность передачи информации о навигационной обстановке и векторе состояния судна в центр дистанционного управления автономными судами в соответствии с регламентом службы МАНС судовладельца и процедурами руководств, а также положений нормативных и руководящих документов.</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 Кибербезопасность</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6.1 Основные документы по кибербезопасности в морской отрасли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документы по кибербезопасности в морской отрасли.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6.2 Основные виды киберугроз</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виды киберугроз.</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6.3 Проблемы и базовые принципы обеспечения информационной защиты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проблемы и базовые принципы обеспечения информационной защиты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6.4 Требования к повышению осведомленности о кибербезопасности на судне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повышению осведомленности о кибербезопасности на судне.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6.5 Политика по кибербезопасности компании, системы управления безопасностью и планы охраны судов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политику по кибербезопасности компании, системы управления безопасностью и планы охраны судов.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6.6 План кибербезопасности судна и процедуры судоходной компании по управлению рисками информационной защиты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план кибербезопасности судна и процедуры судоходной компании по управлению рисками информационной защиты.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6.7 Процедуры осуществления плана кибербезопасности судна и передачи сообщений об инцидентах, связанных с кибербезопасностью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осуществления плана кибербезопасности судна и передачи сообщений об инцидентах, связанных с кибербезопасностью.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выявлять киберугрозы и реагировать на них в соответствии с процедурами системы управления безопасностью (СУБ) судовладельца.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 Управление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7.1 Регламент переключения режимов управления на судне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регламент переключения режимов управления на судне.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7.2 Нормативно-правовые акты, регламентирующие деятельность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нормативно-правовые акты, регламентирующие деятельность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7.3 Особенности взаимодействия с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особенности взаимодействия с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7.4 Процедуры взаимодействия экипажа полуавтономного судна с Центром СУДС в повседневных ситуациях при нахождении полуавтономного судна в пределах зоны действия соответствующей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взаимодействия экипажа полуавтономного судна с Центром СУДС в повседневных ситуациях при нахождении полуавтономного судна в пределах зоны действия соответствующей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7.5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 Итоговая аттестация в форме зачета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r w:rsidRPr="00B11397">
              <w:rPr>
                <w:rFonts w:ascii="Times New Roman" w:hAnsi="Times New Roman"/>
                <w:b/>
                <w:sz w:val="24"/>
                <w:szCs w:val="24"/>
                <w:lang w:val="ru-RU"/>
              </w:rPr>
              <w:t>ак.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72</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44</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26</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2" w:name="_Toc98934605"/>
      <w:bookmarkStart w:id="33" w:name="_Toc126073485"/>
      <w:r w:rsidR="00893C72" w:rsidRPr="00B11397">
        <w:t>Календарный учебный график</w:t>
      </w:r>
      <w:bookmarkEnd w:id="32"/>
      <w:bookmarkEnd w:id="33"/>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500" w:type="dxa"/>
        <w:gridCol w:w="500" w:type="dxa"/>
        <w:gridCol w:w="500" w:type="dxa"/>
        <w:gridCol w:w="500" w:type="dxa"/>
        <w:gridCol w:w="500" w:type="dxa"/>
        <w:gridCol w:w="500" w:type="dxa"/>
        <w:gridCol w:w="500" w:type="dxa"/>
        <w:gridCol w:w="500" w:type="dxa"/>
        <w:gridCol w:w="5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9"/>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Д5</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Д6</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Д7</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Д9</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Нормативные аспекты МАНС</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4.5</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4.5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Принципы организации структуры МАНС</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3.5</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4.5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Математические основы средств автономности судна</w:t>
            </w: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7</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7.5</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14.5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Технические средства судовождения МАНС</w:t>
            </w: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0.5</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9.5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Информационные потоки МАНС</w:t>
            </w: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7</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Кибербезопасность</w:t>
            </w: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5</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7.5</w:t>
            </w: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12.5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Управление МАНС</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0.5</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6</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14.5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8 Итоговая аттестация</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p>
            <w:pPr>
              <w:jc w:val="center"/>
              <w:spacing w:after="0"/>
            </w:pPr>
            <w:r>
              <w:rPr>
                <w:rFonts w:ascii="Times New Roman" w:hAnsi="Times New Roman" w:eastAsia="Times New Roman" w:cs="Times New Roman"/>
                <w:color w:val="000000"/>
                <w:sz w:val="24"/>
                <w:szCs w:val="24"/>
                <w:b w:val="1"/>
                <w:bCs w:val="1"/>
              </w:rPr>
              <w:t xml:space="preserve">72</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250" w:type="dxa"/>
        <w:gridCol w:w="250" w:type="dxa"/>
        <w:gridCol w:w="250" w:type="dxa"/>
        <w:gridCol w:w="250" w:type="dxa"/>
        <w:gridCol w:w="250" w:type="dxa"/>
        <w:gridCol w:w="250" w:type="dxa"/>
        <w:gridCol w:w="250" w:type="dxa"/>
        <w:gridCol w:w="250" w:type="dxa"/>
        <w:gridCol w:w="250" w:type="dxa"/>
        <w:gridCol w:w="250" w:type="dxa"/>
        <w:gridCol w:w="250" w:type="dxa"/>
        <w:gridCol w:w="250" w:type="dxa"/>
        <w:gridCol w:w="250" w:type="dxa"/>
        <w:gridCol w:w="250" w:type="dxa"/>
        <w:gridCol w:w="250" w:type="dxa"/>
        <w:gridCol w:w="250" w:type="dxa"/>
        <w:gridCol w:w="250" w:type="dxa"/>
        <w:gridCol w:w="25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18"/>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Д1</w:t>
            </w: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Д2</w:t>
            </w: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Д3</w:t>
            </w: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Д4</w:t>
            </w: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Д5</w:t>
            </w: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Д6</w:t>
            </w: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Д7</w:t>
            </w: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Д8</w:t>
            </w: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Д9</w:t>
            </w: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Д10</w:t>
            </w: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Д11</w:t>
            </w: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Д12</w:t>
            </w: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Д13</w:t>
            </w: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Д14</w:t>
            </w: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Д15</w:t>
            </w: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Д16</w:t>
            </w: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Д17</w:t>
            </w: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Д18</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Нормативные аспекты МАНС</w:t>
            </w: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0.5</w:t>
            </w: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4.5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Принципы организации структуры МАНС</w:t>
            </w:r>
          </w:p>
        </w:tc>
        <w:tc>
          <w:tcPr>
            <w:tcW w:w="250" w:type="dxa"/>
          </w:tcP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3.5</w:t>
            </w: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4.5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Математические основы средств автономности судна</w:t>
            </w:r>
          </w:p>
        </w:tc>
        <w:tc>
          <w:tcPr>
            <w:tcW w:w="250" w:type="dxa"/>
          </w:tcPr>
          <w:p/>
        </w:tc>
        <w:tc>
          <w:tcPr>
            <w:tcW w:w="250" w:type="dxa"/>
          </w:tcP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3.5</w:t>
            </w: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14.5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Технические средства судовождения МАНС</w:t>
            </w:r>
          </w:p>
        </w:tc>
        <w:tc>
          <w:tcPr>
            <w:tcW w:w="250" w:type="dxa"/>
          </w:tcPr>
          <w:p/>
        </w:tc>
        <w:tc>
          <w:tcPr>
            <w:tcW w:w="250" w:type="dxa"/>
          </w:tcPr>
          <w:p/>
        </w:tc>
        <w:tc>
          <w:tcPr>
            <w:tcW w:w="250" w:type="dxa"/>
          </w:tcPr>
          <w:p/>
        </w:tc>
        <w:tc>
          <w:tcPr>
            <w:tcW w:w="250" w:type="dxa"/>
          </w:tcPr>
          <w:p/>
        </w:tc>
        <w:tc>
          <w:tcPr>
            <w:tcW w:w="250" w:type="dxa"/>
          </w:tcP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0.5</w:t>
            </w: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9.5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Информационные потоки МАНС</w:t>
            </w: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10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Кибербезопасность</w:t>
            </w: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3.5</w:t>
            </w:r>
          </w:p>
        </w:tc>
        <w:tc>
          <w:tcPr>
            <w:tcW w:w="250" w:type="dxa"/>
          </w:tcPr>
          <w:p/>
        </w:tc>
        <w:tc>
          <w:tcPr>
            <w:tcW w:w="250" w:type="dxa"/>
          </w:tcPr>
          <w:p/>
        </w:tc>
        <w:tc>
          <w:tcPr>
            <w:tcW w:w="250" w:type="dxa"/>
          </w:tcPr>
          <w:p/>
        </w:tc>
        <w:tc>
          <w:tcPr>
            <w:tcW w:w="250" w:type="dxa"/>
          </w:tcP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12.5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Управление МАНС</w:t>
            </w: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0.5</w:t>
            </w: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14.5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8 Итоговая аттестация</w:t>
            </w: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tcPr>
          <w:p/>
        </w:tc>
        <w:tc>
          <w:tcPr>
            <w:tcW w:w="25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250" w:type="dxa"/>
            <w:vAlign w:val="center"/>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p>
            <w:pPr>
              <w:jc w:val="center"/>
              <w:spacing w:after="0"/>
            </w:pPr>
            <w:r>
              <w:rPr>
                <w:rFonts w:ascii="Times New Roman" w:hAnsi="Times New Roman" w:eastAsia="Times New Roman" w:cs="Times New Roman"/>
                <w:color w:val="000000"/>
                <w:sz w:val="24"/>
                <w:szCs w:val="24"/>
                <w:b w:val="1"/>
                <w:bCs w:val="1"/>
              </w:rPr>
              <w:t xml:space="preserve">72</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4" w:name="_Toc98934606"/>
      <w:bookmarkStart w:id="35" w:name="_Toc126073486"/>
      <w:r w:rsidRPr="00B11397">
        <w:t>Рабочие программы модулей</w:t>
      </w:r>
      <w:bookmarkEnd w:id="34"/>
      <w:bookmarkEnd w:id="35"/>
    </w:p>
    <w:p w14:paraId="04EC11D3" w14:textId="0CC831D6" w:rsidR="007A5D53" w:rsidRPr="00DF73A3" w:rsidRDefault="007A5D53" w:rsidP="00DF73A3">
      <w:pPr>
        <w:pStyle w:val="3"/>
        <w:keepNext/>
        <w:widowControl/>
        <w:ind w:left="0" w:firstLine="709"/>
      </w:pPr>
      <w:r w:rsidRPr="00B11397">
        <w:t>Нормативные аспекты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Изменения в международных морских конвенциях, рекомендации и национальное законодательство в области эксплуатации автономных судов. Система нормативно-правового регулирования эксплуатации автономных судов. Правовые нормы и границы юридической ответственности бортового экипажа полуавтономного судна. Международная и национальная классификация морских автономных надводных судов.</w:t>
      </w:r>
    </w:p>
    <w:p w14:paraId="04EC11D3" w14:textId="0CC831D6" w:rsidR="007A5D53" w:rsidRPr="00DF73A3" w:rsidRDefault="007A5D53" w:rsidP="00DF73A3">
      <w:pPr>
        <w:pStyle w:val="3"/>
        <w:keepNext/>
        <w:widowControl/>
        <w:ind w:left="0" w:firstLine="709"/>
      </w:pPr>
      <w:r w:rsidRPr="00B11397">
        <w:t>Принципы организации структуры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Организационная структуру МАНС. Регламент взаимодействия судовладельца и экипажа полуавтономного судна.</w:t>
      </w:r>
    </w:p>
    <w:p w14:paraId="04EC11D3" w14:textId="0CC831D6" w:rsidR="007A5D53" w:rsidRPr="00DF73A3" w:rsidRDefault="007A5D53" w:rsidP="00DF73A3">
      <w:pPr>
        <w:pStyle w:val="3"/>
        <w:keepNext/>
        <w:widowControl/>
        <w:ind w:left="0" w:firstLine="709"/>
      </w:pPr>
      <w:r w:rsidRPr="00B11397">
        <w:t>Математические основы средств автономности судна</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Математические основы оптимизационных процессов управления, связанные с обеспечением навигационной безопасности судна, в том числе кибербезопасности. Характеристики СППР. Виды систем принятия решений и их ограничения. Порядок учета работы СППР, использование СППР для принятия решений. Принципы построения автоматизированных систем контроля и управления. Актуальные СППР. Автоматизированные системы автономного судна.</w:t>
      </w:r>
    </w:p>
    <w:p w14:paraId="04EC11D3" w14:textId="0CC831D6" w:rsidR="007A5D53" w:rsidRPr="00DF73A3" w:rsidRDefault="007A5D53" w:rsidP="00DF73A3">
      <w:pPr>
        <w:pStyle w:val="3"/>
        <w:keepNext/>
        <w:widowControl/>
        <w:ind w:left="0" w:firstLine="709"/>
      </w:pPr>
      <w:r w:rsidRPr="00B11397">
        <w:t>Технические средства судовождения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 Общие понятия о конкордации, средства минимизации конкордационных рисков при удалённом управлении. Методика обеспечения надлежащего уровня конкордации решений по управлению судном. Ограничения передаваемой информации по сравнению с имеющейся на судне.</w:t>
      </w:r>
    </w:p>
    <w:p w14:paraId="04EC11D3" w14:textId="0CC831D6" w:rsidR="007A5D53" w:rsidRPr="00DF73A3" w:rsidRDefault="007A5D53" w:rsidP="00DF73A3">
      <w:pPr>
        <w:pStyle w:val="3"/>
        <w:keepNext/>
        <w:widowControl/>
        <w:ind w:left="0" w:firstLine="709"/>
      </w:pPr>
      <w:r w:rsidRPr="00B11397">
        <w:t>Информационные потоки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Процедуры сбора и автоматизированной обработки навигационной информации по различным каналам связи. Технологии оптимизации передачи данных, включая видеоизображение в условиях ограниченной пропускной способности канала. Стандарты автоматического обмена данными между судовыми и береговыми системами а-Навигации и е-Навигации. Принципы автоматического распознавания навигационных опасностей оптическими системами, в том числе на дальних дистанциях.</w:t>
      </w:r>
    </w:p>
    <w:p w14:paraId="04EC11D3" w14:textId="0CC831D6" w:rsidR="007A5D53" w:rsidRPr="00DF73A3" w:rsidRDefault="007A5D53" w:rsidP="00DF73A3">
      <w:pPr>
        <w:pStyle w:val="3"/>
        <w:keepNext/>
        <w:widowControl/>
        <w:ind w:left="0" w:firstLine="709"/>
      </w:pPr>
      <w:r w:rsidRPr="00B11397">
        <w:t>Кибербезопасность</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Основные документы по кибербезопасности в морской отрасли. Основные виды киберугроз. Проблемы и базовые принципы обеспечения информационной защиты судна. Требования к повышению осведомленности о кибербезопасности на судне. Политика по кибербезопасности компании, системы управления безопасностью и планы охраны судов. План кибербезопасности судна и процедуры судоходной компании по управлению рисками информационной защиты. Процедуры осуществления плана кибербезопасности судна и передачи сообщений об инцидентах, связанных с кибербезопасностью.</w:t>
      </w:r>
    </w:p>
    <w:p w14:paraId="04EC11D3" w14:textId="0CC831D6" w:rsidR="007A5D53" w:rsidRPr="00DF73A3" w:rsidRDefault="007A5D53" w:rsidP="00DF73A3">
      <w:pPr>
        <w:pStyle w:val="3"/>
        <w:keepNext/>
        <w:widowControl/>
        <w:ind w:left="0" w:firstLine="709"/>
      </w:pPr>
      <w:r w:rsidRPr="00B11397">
        <w:t>Управление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Регламент переключения режимов управления на судне. Нормативно-правовые акты, регламентирующие деятельность СУДС. Особенности взаимодействия с СУДС. Процедуры взаимодействия экипажа полуавтономного судна с Центром СУДС в повседневных ситуациях при нахождении полуавтономного судна в пределах зоны действия соответствующей СУДС.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p w14:paraId="2295DF5A" w14:textId="77777777" w:rsidR="007A5D53" w:rsidRPr="00B11397" w:rsidRDefault="007A5D53" w:rsidP="00E17C2B">
      <w:pPr>
        <w:rPr>
          <w:lang w:eastAsia="en-US"/>
        </w:rPr>
      </w:pPr>
      <w:bookmarkStart w:id="36" w:name="_GoBack"/>
      <w:bookmarkEnd w:id="36"/>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компетенций, подлежащих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лекционного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Учебная аудитория для проведения занятий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Закон Российской Федерации от 26 июля 2017 г. №187-ФЗ  «О безопасности критической информационной инфраструктуры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Закон Российской Федерации от 31 июля 1998 г. №155-ФЗ  «О внутренних морских водах, территориальном море и прилежащей зоне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Закон Российской Федерации от 8 ноября 2007 г. №261-ФЗ  «О морских портах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 Приказ Минтранса России от 12 ноября 2021 г. № 395 «Об утверждении Общих правил плавания и стоянки судов в морских портах Российской Федерации и на подходах к ним»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 Международный кодекс по охране судов и портовых средств (Кодекс ОСПС), 2-е издание, исправленное и дополненное. - СПб.: ЗАО «ЦНИИМФ», 2009. - 272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 Резолюция ИМО MSC-FAL.1/Circ.3 «Руководство по управлению киберрисками в морской отрасли»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 Резолюция А.884(21) «Поправки к Кодексу по расследованию морских аварий и инцидентов»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2.9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2.10 "Кодекс торгового мореплавания Российской Федерации» от 30.04.1999 N 81-ФЗ (ред. от 28.06.2022)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2.11 Международная конвенция по охране человеческой жизни на море 1974 года (СОЛАС-74). (Консолидированный текст), редакция, действующая с 01 января 2020 г.- СПб.: АО «ЦНИИМФ», 2021 г. - 1184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2.12 Резолюция Международной морской организации (IMO) А.857(20) «Руководство по службам движения судов»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2.13 Резолюция IMO MSC.43(64) «Руководство и критерии для систем судовых сообщений»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2.14 Резолюция IMO А.851(20) «Общие принципы систем судовых сообщений и требования к судовым сообщениям»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2.15 «Руководство по службам движения судов» Международной Ассоциации маячных служб (IALA VTS Manual)</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2.16 «Рекомендации по внедрению служб движения судов» Международной Ассоциации Маячных Служб (IALA Recommendation V-119)</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2.17 «Руководство по эксплуатационным процедурам СУДС» Международной Ас-ассоциации маячных служб (IALA Guidelines on VTS Operating Procedures)</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2.18 «Рекомендации по стандартам подготовки и сертификации операторов служб движения судов» Международной Ассоциации Маячных Служб (IALA Recommendation V-103)</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2.19 КТДЛ.01074-01 34 01 РО версия 2.0-2 Программный комплекс «Автономная навигационная система», Руководство оператора, 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2.20 Законопроект № 48133-8 (проект Федерального Закона) «О внесении изменений в Кодекс торгового мореплавания Российской Федерации и отдельные законодательные акты Российской Федерации (о правовом регулировании эксплуатации автономных судов)"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2.21 Концепция применения технологии автоматического и дистанционного судовождения «БЭС-КФ», Техническое описание систем и элементов, 2020</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2.22 IALA Maritime Radio Communications Plan, Tech. Rep., December 2017</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2.23 802.16 IEEE Standard for Local and metropolitan area networks. Part 16: Air Interface for Fixed Broadband Wireless Access Systems // IEEE Computer Society and the IEEE</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2.24 Navi-Planner 4000 User Manual Version: 2.00.344Transas MIPLtd.</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2.25 Unmanned Marine Systems Code // Lloyd’s Register – London, 2017</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2.26 Autonomous and remotely operated ships // DNV,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2.27 Морские суда без экипажей ― реальность и перспективы: сборник научных докладов по итогам «круглого стола», проводимого совместно кафедрой «Морское право» Юридического института Российского университета транспорта (РУТ) и Ассоциацией международного морского права / под редакцией В. Н. Гуцуляка. ― Москва: Юридический институт РУТ (МИИТ), 2020 — 41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2.28 Астреин В.В., Боран-Кешишьян А.Л. Охрана и безопасность судна. Конспект лекций. — Новороссийск : РИО ГМУ имени адмирала Ф. Ф. Ушакова,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2.29 Астреин В.В., Боран-Кешишьян А.Л. Охрана и безопасность судна. Практические работы. — Новороссийск : РИО ГМУ имени адмирала Ф. Ф. Ушакова,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2.30 Демиденко П.П. Судовые радиолокационные и радионавигационные системы: Учебное пособие. — Одесса : Одесская морская академия, 2008. — 334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2.31 Вагущенко Л.Л., Цымбал Н.Н. Системы автоматического управления движением судна: учебник. — Москва : ТрансЛит, 2007. — 376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2.32 Вагущенко Л.Л. Современные информационные технологии в судовождении [Электронное учебное пособие]. — Одесса : ОНМА, 2013. — 135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2.33 Габасов Р., Кириллова Ф.М., Альсевич В.В., Калинин А.И., Крахотко В.В., Павлёнок Н.С. Методы оптимизации: пособие. — Минск : Четыре четверти, 2011. — 472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2.34 Коваленко В.В. Проектирование информационных систем: учебное пособие для вузов. — Москва : ФОРУМ, 2012. — 319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2.35 Григорьева Д.Р., Гареева Г.А., Басыров Р.Р. Основы нечеткой логики: Учебно-методическое пособие к практическим занятиям и лабораторным работам. — Набережные Челны : НЧИ КФУ, 2018. — 42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2.36 Дмитриев С.П., Пелевин А.Е. Задачи навигации и управления при стабилизации судна на траектории. — СПб. : ГНЦ РФ ЦНИИ «Электроприбор», 2002. — 160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2.37 Хайкин С. Нейронные сети: полный курс, 2-е издание. : пер с англ.. — Москва : Издательский дом «Вильямс», 2006. — 1104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2.38 Хеннан, Э. Многомерные временные ряды. — Москва : Мир, 1974. — 575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2.39 Вагущенко Л.Л., Вагущенко А.Л. Поддержка решений по расхождению с судами. — Одесса : Феникс, 2010. — 296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2.40 Астреин В.В. Методология анализа и синтеза сложных активных технических систем и ее реализация в Системе безопасности судовождения (монография). — Новороссийск : РИО «ГМУ им. адм. Ф.Ф. Ушакова», 2022. — 311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2.41 Stefania Sesia, Issam Toufik, Matthew Baker LTE – The UMTS Long Term Evolution. From Theory to Practice. — Chichester, West Sussex : John Wiley &amp; Sons Ltd, 2009. — 611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2.42 Тихвинский В.О., Терентьев С.В., Юрчук А.Б. Сети мобильной связи LTE: технологии и архитектура. — Москва : ЭкоТрендз, 2010. — 284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2.43 Захаров П.Н., Бабушкин А.К., Королев А.Ф., Турчанинов А.В. и др. Выбор оптимального метода модуляции сигнала в современных цифровых системах радиосвязи. Моделирование в среде AWR DESIGN ENVIRONMENT. Спецпрактикум. — Москва : Физический факультет. Университет им. Ломоносова, 2008. — 52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2.44 Официальный сайт ФАУ «Российский морской регистр судоходства» : https://rs-class.org</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2.45 Официальный сайт АО «Ситроникс КТ» : https://sitronics-kt.ru/</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0A07BC96"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990677" w:rsidRPr="00B11397">
        <w:rPr>
          <w:sz w:val="28"/>
          <w:szCs w:val="22"/>
          <w:lang w:eastAsia="en-US"/>
        </w:rPr>
        <w:t xml:space="preserve">30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70% правильных ответов);</w:t>
      </w:r>
    </w:p>
    <w:p w14:paraId="3F3980A6" w14:textId="2E839593"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3 практических задания</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09C02247" w14:textId="77777777" w:rsidR="00E91B91" w:rsidRPr="00B11397" w:rsidRDefault="00E91B91" w:rsidP="00E17C2B">
      <w:pPr>
        <w:autoSpaceDE w:val="0"/>
        <w:autoSpaceDN w:val="0"/>
        <w:spacing w:before="6" w:line="362" w:lineRule="auto"/>
        <w:ind w:firstLine="709"/>
        <w:jc w:val="both"/>
        <w:rPr>
          <w:sz w:val="28"/>
          <w:szCs w:val="28"/>
          <w:lang w:eastAsia="en-US"/>
        </w:rPr>
      </w:pPr>
    </w:p>
    <w:p w14:paraId="2AEFAA74" w14:textId="28D63622" w:rsidR="00E91B91" w:rsidRPr="00B11397" w:rsidRDefault="00E91B91" w:rsidP="00E17C2B">
      <w:pPr>
        <w:pStyle w:val="1"/>
        <w:keepNext/>
        <w:widowControl/>
        <w:ind w:left="0" w:firstLine="709"/>
      </w:pPr>
      <w:bookmarkStart w:id="56" w:name="_Toc126073497"/>
      <w:r w:rsidRPr="00B11397">
        <w:t>Электронный учебно-методический комплекс</w:t>
      </w:r>
      <w:bookmarkEnd w:id="56"/>
    </w:p>
    <w:p w14:paraId="26010BFA" w14:textId="6B144FE9"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Электронный учебно-методический комплекс по дополнительной профессиональной программе</w:t>
      </w:r>
      <w:r w:rsidR="000940E7" w:rsidRPr="00B11397">
        <w:rPr>
          <w:sz w:val="28"/>
          <w:szCs w:val="28"/>
          <w:lang w:eastAsia="en-US"/>
        </w:rPr>
        <w:t xml:space="preserve"> – программе повышения квалификации</w:t>
      </w:r>
      <w:r w:rsidRPr="00B11397">
        <w:rPr>
          <w:sz w:val="28"/>
          <w:szCs w:val="28"/>
          <w:lang w:eastAsia="en-US"/>
        </w:rPr>
        <w:t xml:space="preserve"> «</w:t>
      </w:r>
      <w:r w:rsidR="00030BE7" w:rsidRPr="00B11397">
        <w:rPr>
          <w:bCs/>
          <w:sz w:val="28"/>
          <w:szCs w:val="28"/>
        </w:rPr>
        <w:t>(старый)_Повышение квалификации вахтенного помощника капитана в области эксплуатации полуавтономных судов</w:t>
      </w:r>
      <w:r w:rsidRPr="00B11397">
        <w:rPr>
          <w:sz w:val="28"/>
          <w:szCs w:val="28"/>
          <w:lang w:eastAsia="en-US"/>
        </w:rPr>
        <w:t xml:space="preserve">» размещен на образовательном портале в сети Интернет по адресу </w:t>
      </w:r>
      <w:r w:rsidR="007B6619" w:rsidRPr="00B11397">
        <w:rPr>
          <w:sz w:val="28"/>
          <w:szCs w:val="28"/>
          <w:lang w:eastAsia="en-US"/>
        </w:rPr>
        <w:t>https://p2030.emiit.ru/</w:t>
      </w:r>
      <w:r w:rsidR="007B6619" w:rsidRPr="00B11397" w:rsidDel="007B6619">
        <w:rPr>
          <w:sz w:val="28"/>
          <w:szCs w:val="28"/>
          <w:lang w:eastAsia="en-US"/>
        </w:rPr>
        <w:t xml:space="preserve"> </w:t>
      </w:r>
    </w:p>
    <w:p w14:paraId="11354579" w14:textId="70CB8CC6"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Тестовый логин: </w:t>
      </w:r>
    </w:p>
    <w:p w14:paraId="43B6E9A8" w14:textId="1D2ED61C"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Пароль: </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7D5D2" w14:textId="77777777" w:rsidR="001C60AF" w:rsidRDefault="001C60AF">
      <w:r>
        <w:separator/>
      </w:r>
    </w:p>
  </w:endnote>
  <w:endnote w:type="continuationSeparator" w:id="0">
    <w:p w14:paraId="1A98DF69" w14:textId="77777777" w:rsidR="001C60AF" w:rsidRDefault="001C60AF">
      <w:r>
        <w:continuationSeparator/>
      </w:r>
    </w:p>
  </w:endnote>
  <w:endnote w:type="continuationNotice" w:id="1">
    <w:p w14:paraId="504EDBE3" w14:textId="77777777" w:rsidR="001C60AF" w:rsidRDefault="001C60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7D544D">
          <w:rPr>
            <w:noProof/>
            <w:sz w:val="24"/>
            <w:szCs w:val="22"/>
          </w:rPr>
          <w:t>10</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D57CB" w14:textId="77777777" w:rsidR="001C60AF" w:rsidRDefault="001C60AF">
      <w:r>
        <w:separator/>
      </w:r>
    </w:p>
  </w:footnote>
  <w:footnote w:type="continuationSeparator" w:id="0">
    <w:p w14:paraId="38E46F11" w14:textId="77777777" w:rsidR="001C60AF" w:rsidRDefault="001C60AF">
      <w:r>
        <w:continuationSeparator/>
      </w:r>
    </w:p>
  </w:footnote>
  <w:footnote w:type="continuationNotice" w:id="1">
    <w:p w14:paraId="5A0C4C27" w14:textId="77777777" w:rsidR="001C60AF" w:rsidRDefault="001C60A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243">
    <w:multiLevelType w:val="hybridMultilevel"/>
    <w:lvl w:ilvl="0" w:tplc="15034197">
      <w:start w:val="1"/>
      <w:numFmt w:val="decimal"/>
      <w:lvlText w:val="%1."/>
      <w:lvlJc w:val="left"/>
      <w:pPr>
        <w:ind w:left="720" w:hanging="360"/>
      </w:pPr>
    </w:lvl>
    <w:lvl w:ilvl="1" w:tplc="15034197" w:tentative="1">
      <w:start w:val="1"/>
      <w:numFmt w:val="lowerLetter"/>
      <w:lvlText w:val="%2."/>
      <w:lvlJc w:val="left"/>
      <w:pPr>
        <w:ind w:left="1440" w:hanging="360"/>
      </w:pPr>
    </w:lvl>
    <w:lvl w:ilvl="2" w:tplc="15034197" w:tentative="1">
      <w:start w:val="1"/>
      <w:numFmt w:val="lowerRoman"/>
      <w:lvlText w:val="%3."/>
      <w:lvlJc w:val="right"/>
      <w:pPr>
        <w:ind w:left="2160" w:hanging="180"/>
      </w:pPr>
    </w:lvl>
    <w:lvl w:ilvl="3" w:tplc="15034197" w:tentative="1">
      <w:start w:val="1"/>
      <w:numFmt w:val="decimal"/>
      <w:lvlText w:val="%4."/>
      <w:lvlJc w:val="left"/>
      <w:pPr>
        <w:ind w:left="2880" w:hanging="360"/>
      </w:pPr>
    </w:lvl>
    <w:lvl w:ilvl="4" w:tplc="15034197" w:tentative="1">
      <w:start w:val="1"/>
      <w:numFmt w:val="lowerLetter"/>
      <w:lvlText w:val="%5."/>
      <w:lvlJc w:val="left"/>
      <w:pPr>
        <w:ind w:left="3600" w:hanging="360"/>
      </w:pPr>
    </w:lvl>
    <w:lvl w:ilvl="5" w:tplc="15034197" w:tentative="1">
      <w:start w:val="1"/>
      <w:numFmt w:val="lowerRoman"/>
      <w:lvlText w:val="%6."/>
      <w:lvlJc w:val="right"/>
      <w:pPr>
        <w:ind w:left="4320" w:hanging="180"/>
      </w:pPr>
    </w:lvl>
    <w:lvl w:ilvl="6" w:tplc="15034197" w:tentative="1">
      <w:start w:val="1"/>
      <w:numFmt w:val="decimal"/>
      <w:lvlText w:val="%7."/>
      <w:lvlJc w:val="left"/>
      <w:pPr>
        <w:ind w:left="5040" w:hanging="360"/>
      </w:pPr>
    </w:lvl>
    <w:lvl w:ilvl="7" w:tplc="15034197" w:tentative="1">
      <w:start w:val="1"/>
      <w:numFmt w:val="lowerLetter"/>
      <w:lvlText w:val="%8."/>
      <w:lvlJc w:val="left"/>
      <w:pPr>
        <w:ind w:left="5760" w:hanging="360"/>
      </w:pPr>
    </w:lvl>
    <w:lvl w:ilvl="8" w:tplc="15034197" w:tentative="1">
      <w:start w:val="1"/>
      <w:numFmt w:val="lowerRoman"/>
      <w:lvlText w:val="%9."/>
      <w:lvlJc w:val="right"/>
      <w:pPr>
        <w:ind w:left="6480" w:hanging="180"/>
      </w:pPr>
    </w:lvl>
  </w:abstractNum>
  <w:abstractNum w:abstractNumId="5242">
    <w:multiLevelType w:val="hybridMultilevel"/>
    <w:lvl w:ilvl="0" w:tplc="2809660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5242">
    <w:abstractNumId w:val="5242"/>
  </w:num>
  <w:num w:numId="5243">
    <w:abstractNumId w:val="524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6B87"/>
    <w:rsid w:val="000E7721"/>
    <w:rsid w:val="000E79D0"/>
    <w:rsid w:val="000F40C8"/>
    <w:rsid w:val="000F6B55"/>
    <w:rsid w:val="001005C5"/>
    <w:rsid w:val="00101594"/>
    <w:rsid w:val="001018F8"/>
    <w:rsid w:val="001024F6"/>
    <w:rsid w:val="00103C41"/>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2089"/>
    <w:rsid w:val="001F21D1"/>
    <w:rsid w:val="001F36FF"/>
    <w:rsid w:val="00203EB2"/>
    <w:rsid w:val="00204B42"/>
    <w:rsid w:val="00217E7A"/>
    <w:rsid w:val="00224882"/>
    <w:rsid w:val="0022516A"/>
    <w:rsid w:val="00226021"/>
    <w:rsid w:val="0022666D"/>
    <w:rsid w:val="00234290"/>
    <w:rsid w:val="0023686D"/>
    <w:rsid w:val="002379D9"/>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13CF1"/>
    <w:rsid w:val="00316E44"/>
    <w:rsid w:val="00320CE7"/>
    <w:rsid w:val="00322CFC"/>
    <w:rsid w:val="00324E53"/>
    <w:rsid w:val="00325689"/>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85DF5"/>
    <w:rsid w:val="00886553"/>
    <w:rsid w:val="00887544"/>
    <w:rsid w:val="00887C83"/>
    <w:rsid w:val="00887CAD"/>
    <w:rsid w:val="00890908"/>
    <w:rsid w:val="008914E2"/>
    <w:rsid w:val="00893C6A"/>
    <w:rsid w:val="00893C72"/>
    <w:rsid w:val="00894DD8"/>
    <w:rsid w:val="00897EAA"/>
    <w:rsid w:val="008A29B8"/>
    <w:rsid w:val="008A5966"/>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2296C"/>
    <w:rsid w:val="00A23086"/>
    <w:rsid w:val="00A264FE"/>
    <w:rsid w:val="00A33112"/>
    <w:rsid w:val="00A45BFE"/>
    <w:rsid w:val="00A460C7"/>
    <w:rsid w:val="00A57E74"/>
    <w:rsid w:val="00A61435"/>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F106F"/>
    <w:rsid w:val="00B00324"/>
    <w:rsid w:val="00B033B7"/>
    <w:rsid w:val="00B0589D"/>
    <w:rsid w:val="00B05BCB"/>
    <w:rsid w:val="00B11397"/>
    <w:rsid w:val="00B11B4C"/>
    <w:rsid w:val="00B142B9"/>
    <w:rsid w:val="00B15B32"/>
    <w:rsid w:val="00B16F63"/>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2004"/>
    <w:rsid w:val="00D539FE"/>
    <w:rsid w:val="00D55737"/>
    <w:rsid w:val="00D56A3F"/>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3206"/>
    <w:rsid w:val="00E629C1"/>
    <w:rsid w:val="00E6550F"/>
    <w:rsid w:val="00E6629B"/>
    <w:rsid w:val="00E67A5C"/>
    <w:rsid w:val="00E67EC9"/>
    <w:rsid w:val="00E7100F"/>
    <w:rsid w:val="00E71541"/>
    <w:rsid w:val="00E7382B"/>
    <w:rsid w:val="00E74A22"/>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60C65"/>
    <w:rsid w:val="00F61AF0"/>
    <w:rsid w:val="00F66D1E"/>
    <w:rsid w:val="00F670D5"/>
    <w:rsid w:val="00F67539"/>
    <w:rsid w:val="00F75962"/>
    <w:rsid w:val="00F76C1D"/>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2654727" Type="http://schemas.openxmlformats.org/officeDocument/2006/relationships/comments" Target="comments.xml"/><Relationship Id="rId670512253"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49E49A-1DC0-4C65-9118-E075522A4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11893</TotalTime>
  <Pages>10</Pages>
  <Words>963</Words>
  <Characters>5495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22</cp:revision>
  <cp:lastPrinted>2023-02-01T07:12:00Z</cp:lastPrinted>
  <dcterms:created xsi:type="dcterms:W3CDTF">2023-02-18T16:52:00Z</dcterms:created>
  <dcterms:modified xsi:type="dcterms:W3CDTF">2023-03-27T13:47:00Z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