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6DF3CB1D" w14:textId="2FFFE8EC" w:rsidR="00514D65" w:rsidRPr="00B11397" w:rsidRDefault="007371B7" w:rsidP="00E17C2B">
            <w:pPr>
              <w:spacing w:line="360" w:lineRule="auto"/>
              <w:jc w:val="both"/>
              <w:rPr>
                <w:sz w:val="28"/>
                <w:szCs w:val="28"/>
              </w:rPr>
            </w:pPr>
            <w:r>
              <w:rPr>
                <w:sz w:val="28"/>
                <w:szCs w:val="28"/>
                <w:lang w:val="en-US"/>
              </w:rPr>
              <w:t>Проректор</w:t>
            </w:r>
          </w:p>
          <w:p w14:paraId="3CC3FF9C" w14:textId="130EB99D" w:rsidR="00514D65" w:rsidRPr="00622FDA" w:rsidRDefault="00514D65" w:rsidP="00E17C2B">
            <w:pPr>
              <w:spacing w:line="360" w:lineRule="auto"/>
              <w:jc w:val="both"/>
              <w:rPr>
                <w:sz w:val="28"/>
                <w:szCs w:val="28"/>
                <w:lang w:val="en-US"/>
              </w:rPr>
            </w:pPr>
            <w:r w:rsidRPr="00B11397">
              <w:rPr>
                <w:sz w:val="28"/>
                <w:szCs w:val="28"/>
              </w:rPr>
              <w:t xml:space="preserve">____________ </w:t>
            </w:r>
            <w:r w:rsidR="00622FDA">
              <w:rPr>
                <w:sz w:val="28"/>
                <w:szCs w:val="28"/>
                <w:lang w:val="en-US"/>
              </w:rPr>
              <w:t>С.С. Соколов</w:t>
            </w:r>
          </w:p>
          <w:p w14:paraId="4631E90D" w14:textId="77777777" w:rsidR="00514D65" w:rsidRPr="00B11397" w:rsidRDefault="00514D65" w:rsidP="00E17C2B">
            <w:pPr>
              <w:spacing w:line="360" w:lineRule="auto"/>
              <w:jc w:val="both"/>
              <w:rPr>
                <w:sz w:val="28"/>
                <w:szCs w:val="28"/>
              </w:rPr>
            </w:pPr>
          </w:p>
          <w:p w14:paraId="03C66859" w14:textId="3F81B1A6" w:rsidR="00514D65" w:rsidRPr="00B11397" w:rsidRDefault="00514D65" w:rsidP="00E17C2B">
            <w:pPr>
              <w:spacing w:line="360" w:lineRule="auto"/>
              <w:jc w:val="both"/>
              <w:rPr>
                <w:sz w:val="28"/>
                <w:szCs w:val="28"/>
              </w:rPr>
            </w:pPr>
            <w:r w:rsidRPr="00B11397">
              <w:rPr>
                <w:sz w:val="28"/>
                <w:szCs w:val="28"/>
              </w:rPr>
              <w:t>«____» ____________</w:t>
            </w:r>
            <w:r w:rsidR="00D50A0F">
              <w:rPr>
                <w:sz w:val="28"/>
                <w:szCs w:val="28"/>
                <w:lang w:val="en-US"/>
              </w:rPr>
              <w:t>2023</w:t>
            </w:r>
            <w:r w:rsidR="00822F13" w:rsidRPr="00B11397">
              <w:rPr>
                <w:sz w:val="28"/>
                <w:szCs w:val="28"/>
              </w:rPr>
              <w:t xml:space="preserve">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1" w:name="_Hlk122270586"/>
      <w:r w:rsidRPr="00B11397">
        <w:rPr>
          <w:bCs/>
          <w:sz w:val="28"/>
          <w:szCs w:val="28"/>
        </w:rPr>
        <w:t>«</w:t>
      </w:r>
      <w:r w:rsidR="009E760D" w:rsidRPr="00B11397">
        <w:rPr>
          <w:bCs/>
          <w:sz w:val="28"/>
          <w:szCs w:val="28"/>
        </w:rPr>
        <w:t>Подготовка инструкторов по обучению офицеров береговых центров управления полуавтономными судами</w:t>
      </w:r>
      <w:r w:rsidRPr="00B11397">
        <w:rPr>
          <w:bCs/>
          <w:sz w:val="28"/>
          <w:szCs w:val="28"/>
        </w:rPr>
        <w:t>»</w:t>
      </w:r>
    </w:p>
    <w:bookmarkEnd w:id="1"/>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Подготовка инструкторов по обучению офицеров береговых центров управления полуавтономными судами</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«Подготовка инструкторов по обучению офицеров береговых центров управления полуавтономными судами» (далее – Программа) направлена на подготовку инструкторов по обучению операторов центров дистанционного управления полуавтономными судами, т.е. судами, способными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внедрение информационных технологий в сферу водного транспорта, тенденции развития автономного судовождения в России и в мире, а также реализация пилотных проектов в данной области, по оценкам специалистов, уже через 5-7 лет приведет к тому, что автономное судовождение, став неотъемлемой частью судоходства, внесет коррективы не только в экономику морских перевозок, но и в суть профессии моряка. Программа имеет целью формирование компетенций в области эксплуатации компьютерного оборудования и периферийных устройств учебно-тренировочного комплекса для подготовки специалистов в области автономного судовождения, «РУТ-2030-V-НАВ» (далее – УТК РУТ) при проведении подготовки операторов центров дистанционного управления полуавтономными судами; планирования, проектирования имитационных упражнений и управления ходом их выполнения; оценки и анализа корректности выполнения имитационных упражнений с использованием УТК РУТ.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доктор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Борщ Виталий Викторович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Калачев Михаил Анатольевич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Дмитренко Владимир Павлович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Шапошников Сергей Витальевич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философских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Ганс Елена Сергеевна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Валидация</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2" w:name="_Toc98934001"/>
      <w:r w:rsidRPr="00B11397">
        <w:lastRenderedPageBreak/>
        <w:t>Содержание</w:t>
      </w:r>
      <w:bookmarkEnd w:id="2"/>
    </w:p>
    <w:sdt>
      <w:sdtPr>
        <w:id w:val="277852201"/>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3" w:name="_Toc98934593"/>
      <w:bookmarkStart w:id="4" w:name="_Toc126073473"/>
      <w:r w:rsidRPr="00B11397">
        <w:lastRenderedPageBreak/>
        <w:t>Общая характеристика программы</w:t>
      </w:r>
      <w:bookmarkEnd w:id="3"/>
      <w:bookmarkEnd w:id="4"/>
    </w:p>
    <w:p w14:paraId="1F2B2999" w14:textId="075CC3BD" w:rsidR="00182F18" w:rsidRPr="00B11397" w:rsidRDefault="00F670D5" w:rsidP="00E17C2B">
      <w:pPr>
        <w:pStyle w:val="2"/>
        <w:keepNext/>
        <w:widowControl/>
        <w:ind w:left="0" w:firstLine="709"/>
      </w:pPr>
      <w:bookmarkStart w:id="5" w:name="_Toc98934594"/>
      <w:bookmarkStart w:id="6" w:name="_Toc126073474"/>
      <w:r w:rsidRPr="00B11397">
        <w:t>Общие положения</w:t>
      </w:r>
      <w:bookmarkEnd w:id="5"/>
      <w:bookmarkEnd w:id="6"/>
    </w:p>
    <w:p w14:paraId="25B7317C" w14:textId="4D10CCAC" w:rsidR="00893C72" w:rsidRPr="00B11397" w:rsidRDefault="00893C72" w:rsidP="00E17C2B">
      <w:pPr>
        <w:pStyle w:val="3"/>
        <w:keepNext/>
        <w:widowControl/>
        <w:ind w:left="0" w:firstLine="709"/>
      </w:pPr>
      <w:bookmarkStart w:id="7" w:name="_Toc98934595"/>
      <w:bookmarkStart w:id="8" w:name="_Toc126073475"/>
      <w:r w:rsidRPr="00B11397">
        <w:t>Нормативные правовые основания разработки</w:t>
      </w:r>
      <w:bookmarkEnd w:id="7"/>
      <w:bookmarkEnd w:id="8"/>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Подготовка инструкторов по обучению офицеров береговых центров управления полуавтономными судами</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r w:rsidRPr="00B11397">
        <w:rPr>
          <w:spacing w:val="-1"/>
          <w:sz w:val="28"/>
          <w:szCs w:val="22"/>
          <w:lang w:eastAsia="en-US"/>
        </w:rPr>
        <w:t>Минобрнауки</w:t>
      </w:r>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от 29.11.2019 № 745н.</w:t>
      </w:r>
    </w:p>
    <w:p w14:paraId="2F1A8913" w14:textId="77777777" w:rsidR="00893C72" w:rsidRPr="00B11397" w:rsidRDefault="00893C72" w:rsidP="00E17C2B">
      <w:pPr>
        <w:pStyle w:val="3"/>
        <w:keepNext/>
        <w:widowControl/>
        <w:ind w:left="0" w:firstLine="709"/>
      </w:pPr>
      <w:bookmarkStart w:id="9" w:name="_Toc98934596"/>
      <w:bookmarkStart w:id="10" w:name="_Toc126073476"/>
      <w:r w:rsidRPr="00B11397">
        <w:t>Требования к обучающимся</w:t>
      </w:r>
      <w:bookmarkEnd w:id="9"/>
      <w:bookmarkEnd w:id="10"/>
    </w:p>
    <w:p w14:paraId="6783C706" w14:textId="77777777" w:rsidR="009F2455" w:rsidRPr="00B11397" w:rsidRDefault="009F2455" w:rsidP="00E17C2B">
      <w:pPr>
        <w:pStyle w:val="TEXT"/>
      </w:pPr>
      <w:bookmarkStart w:id="11" w:name="_Toc122256433"/>
      <w:bookmarkStart w:id="12" w:name="_Toc122258082"/>
      <w:bookmarkStart w:id="13" w:name="_Toc98934597"/>
      <w:bookmarkStart w:id="14" w:name="_Toc126073477"/>
      <w:bookmarkEnd w:id="11"/>
      <w:bookmarkEnd w:id="12"/>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5-й уровень квалификации, включающий самостоятельную деятельность по решению практических задач в области судовождения, обработки и размещения грузов, безопасной перевозки пассажиров на судне, управления операциями судна и заботы о людях на уровне эксплуатации с непосредственным контролем за выполнением всех функций в пределах обозначенной области ответственности инструкторов по обучению вахтенных офицеров. Подготовка рассчитана на инструкторов морских образовательных организаций, имеющих или имевших опыт практического судовождения, а также: диплом капитана; дополнительное профессиональное образование по программе «Инструктор тренажерной подготовки, экзаменатор» (типовая программа ИМО 6.10). Категория обучаемых – учебно-преподавательский состав тренажерных центров, осуществляющих подготовку специалистов морского и речного транспорта, имеющие сертификат Инструктора установленного Росморречфлотом образца. Опыт работы в должности инструкторов по обучению вахтенных офицеров – не менее трех  лет, двенадцать месяцев из которых – за последние пять лет. Внимание! При зачислении кандидатов на обучение принимаются во внимание рекомендации по квалификационным требованиям, предъявляемым к персоналу Учебно-тренажерного центра, содержащиеся в Приложении 13 Рекомендаций по организации деятельности учебно-тренажерных центров и их освидетельствованию, утвержденных Росморречфлотом в 2016 г..</w:t>
      </w:r>
    </w:p>
    <w:p w14:paraId="040C8185" w14:textId="5A0F32CC" w:rsidR="00A57E74" w:rsidRPr="00B11397" w:rsidRDefault="00122E1C" w:rsidP="00E17C2B">
      <w:pPr>
        <w:pStyle w:val="3"/>
        <w:keepNext/>
        <w:widowControl/>
        <w:ind w:left="0" w:firstLine="709"/>
      </w:pPr>
      <w:r w:rsidRPr="00B11397">
        <w:t>Форма обучения</w:t>
      </w:r>
      <w:bookmarkEnd w:id="13"/>
      <w:bookmarkEnd w:id="14"/>
      <w:r w:rsidR="00893C72" w:rsidRPr="00B11397">
        <w:t xml:space="preserve"> </w:t>
      </w:r>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38A5DCBF"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72</w:t>
      </w:r>
      <w:r w:rsidRPr="00B11397">
        <w:t xml:space="preserve"> </w:t>
      </w:r>
      <w:r w:rsidR="001F0C0E">
        <w:t>ак</w:t>
      </w:r>
      <w:r w:rsidR="00A16C9A">
        <w:t>адемических</w:t>
      </w:r>
      <w:r w:rsidR="001F0C0E">
        <w:t xml:space="preserve"> </w:t>
      </w:r>
      <w:r w:rsidR="00A16C9A" w:rsidRPr="00A16C9A">
        <w:t>часа</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12AA03BC" w:rsidR="000E0E30" w:rsidRPr="00B11397" w:rsidRDefault="000E0E30" w:rsidP="00E17C2B">
      <w:pPr>
        <w:pStyle w:val="TEXT"/>
      </w:pPr>
      <w:r w:rsidRPr="00B11397">
        <w:t>Срок освоения составляет 9 календарных</w:t>
      </w:r>
      <w:r w:rsidRPr="00B11397">
        <w:rPr>
          <w:spacing w:val="-2"/>
        </w:rPr>
        <w:t xml:space="preserve"> </w:t>
      </w:r>
      <w:r w:rsidR="00834B6A" w:rsidRPr="00834B6A">
        <w:t>дней</w:t>
      </w:r>
      <w:r w:rsidRPr="00B11397">
        <w:t xml:space="preserve"> для очной формы обучения и 18 календарных</w:t>
      </w:r>
      <w:r w:rsidRPr="00B11397">
        <w:rPr>
          <w:spacing w:val="-2"/>
        </w:rPr>
        <w:t xml:space="preserve"> </w:t>
      </w:r>
      <w:r w:rsidR="00834B6A" w:rsidRPr="00834B6A">
        <w:t>дней</w:t>
      </w:r>
      <w:r w:rsidRPr="00B11397">
        <w:t xml:space="preserve">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совершенствование и (или) получение новой компетенции, необходимой для профессиональной деятельности.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эксплуатировать компьютерное оборудование и периферийные устройства УТК РУТ в соответствии с Руководством по эксплуатации Учебно-тренировочного комплекса при проведении подготовки офицеров береговых центров управления полуавтономными судами</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правила техники безопасности при работе на тренажере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и порядок выключения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и конфигурацию тренажера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отображения рабочего места инструктора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конфигурацию рабочего места обучаемого</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процессы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технологию работы со вспомогательной графической информацией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использования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составу оборудования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тренажера ГМССБ в составе УТК</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инструктора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управления тренажером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функциональные возможности рабочего места обучаемого тренажера ГМССБ</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проектированию программы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алгоритм проектирования программ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результатам подготовки офицеров береговых центров управления полуавтономными судами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формирования учебного плана программы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планированию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имитационного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подготовки упражнений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вспомогательные инструменты РМИ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 создания и выполнения упражнений по передаче управления судном типа МАНС между мостиками судна и ЦДУ на УТК РУТ</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роль и назначение проверочных листов для работы персонала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концепцию использования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процедуру передачи управления МАНС судовому персоналу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проведения инструктажа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управления ходом выполнения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порядок подведения итогов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подходы к оцениванию</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оценки методом моделирования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и интерфейс РМИ для анализа и разбора упражнения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менеджмента качества в тренажерной подготовке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идеологию дистанционного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архитектуру систем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поста дистанционного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информации для обмена между ЦДУ и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персоналу ЦДУ</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особенности взаимодействия персонала ЦДУ с экипажем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ходом выполнения имитационного упражнения в процессе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ак.</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Виды занятий, в т.ч.</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Принципы организации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Общие положения о необходимости автоматизации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необходимости автоматизации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Структура систем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систем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Взаимосвязь между различными блоками автоматизации навигационных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взаимосвязь между различными блоками автоматизации навигационных процессов.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Зоны действия и ответственности «человеческого элемента» в схеме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зоны действия и ответственности «человеческого элемента» в схеме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Принципы организационного и технического обеспечения контроля и управления МАНС из центра дистанционного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Идеология дистанционного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идеологию дистанционного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Архитектура систем ЦДУ</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архитектуру систем ЦДУ.</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Оборудование поста дистанционного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поста дистанционного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Состав информации для обмена между ЦДУ 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информации для обмена между ЦДУ и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2.5 Требования, предъявляемые к персоналу ЦДУ</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предъявляемые к персоналу ЦДУ.</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2.6 Особенности взаимодействия персонала ЦДУ с экипажем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взаимодействия персонала ЦДУ с экипажем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Роль и возможности тренажера в имитационном моделировании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Правила техники безопасности при работе на тренажере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правила техники безопасности при работе на тренажере.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Процедура и порядок включения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 порядок включения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Процедура и порядок выключения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и порядок выключения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выполнять включение/выключение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Структура и конфигурация тренажера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и конфигурацию тренажера.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Функции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Состав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Возможности отображения рабочего места инструктора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0.6</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отображения рабочего места инструктора.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Функции рабочего места обучаемого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рабочего места обучаемого.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Конфигурация рабочего места обучаемого</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конфигурацию рабочего места обучаемого.</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Возможности управления тренажером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управления тренажером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Функциональные возможности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Требования к составу оборудования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составу оборудования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3.13 Функциональные возможности тренажера ГМССБ в составе УТК</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тренажера ГМССБ в составе УТК.</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3.14 Состав рабочего места инструктора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инструктора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3.15 Состав рабочего места обучаемого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рабочего места обучаемого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3.16 Функциональные возможности рабочего места инструктора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рабочего места инструктора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3.17 Функциональные возможности рабочего места обучаемого тренажера ГМССБ</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функциональные возможности рабочего места обучаемого тренажера ГМССБ.</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3.18 Организация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3.19 Оборудование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3.20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3.21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3.22 Функции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3.23 Процессы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процессы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3.24 Технология работы со вспомогательной графической информацией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технологию работы со вспомогательной графической информацией.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 УТК РУТ самостоятельно в соответствии с Руководством по эксплуатации Учебно-тренировочного комплекса для подготовки специалистов в области автономного судовождения.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3.25 Процесс использования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использования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Разработка концепции программы тренажерной подготовки. Дизайн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Алгоритм проектирования программ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алгоритм проектирования программ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Структура программы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программы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Особенности формирования учебного плана программы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формирования учебного плана программы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Подходы к проектированию программы тренажерной подготовки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проектированию программы тренажерной подготовки.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Требования к результатам подготовки офицеров береговых центров управления полуавтономными судами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результатам подготовки офицеров береговых центров управления полуавтономными судами.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Система менеджмента качества в тренажерной подготовке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менеджмента качества в тренажерной подготовке.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Разработка и проведение имитационных упражнений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Подходы к планированию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планированию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Принципы подготовки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Концепция использования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концепцию использования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Процедура передачи управления МАНС судовому персоналу</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процедуру передачи управления МАНС судовому персоналу.</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Роль и назначение проверочных листов для работы персонала ЦДУ</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0.7</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роль и назначение проверочных листов для работы персонала ЦДУ.</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Порядок проведения инструктажа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проведения инструктажа.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5.7 Порядок выполнения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выполнения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5.8 Порядок подведения итогов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порядок подведения итогов.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5.9 Пример имитационного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 имитационного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5.10 Функции и интерфейс РМИ для подготовки упражнений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подготовки упражнений.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5.11 Функции и интерфейс РМИ для управления ходом выполнения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управления ходом выполнения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5.12 Вспомогательные инструменты РМИ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вспомогательные инструменты РМИ.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5.13 Пример создания и выполнения упражнений по передаче управления судном типа МАНС между мостиками судна и ЦДУ на УТК РУТ</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 создания и выполнения упражнений по передаче управления судном типа МАНС между мостиками судна и ЦДУ на УТК РУТ.</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разрабатывать имитационные упражнения для обучения офицеров береговых центров управления полуавтономными судами, используя функции и интерфейс УТК РУТ и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Специфика оценочных мероприятий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Подходы к оцениванию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подходы к оцениванию.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Особенности оценки методом моделирования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особенности оценки методом моделирования.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Функции и интерфейс РМИ для анализа и разбора упражнения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и интерфейс РМИ для анализа и разбора упражнения.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проводить оценку и анализ корректности выполнения имитационных упражнений в процессе обучения офицеров береговых центров управления полуавтономными судами с использованием УТК РУТ в соответствии с требованиями модельных курсов 6.09 «Training course for instructors / Учебный курс для инструкторов» и 6.10 «Train the Simulator Trainer and Assessor / Обучение инструктора и эксперта тренажерной подготовки».</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r w:rsidRPr="00B11397">
              <w:rPr>
                <w:rFonts w:ascii="Times New Roman" w:hAnsi="Times New Roman"/>
                <w:b/>
                <w:sz w:val="24"/>
                <w:szCs w:val="24"/>
                <w:lang w:val="ru-RU"/>
              </w:rPr>
              <w:t>ак.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72</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45</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23</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500" w:type="dxa"/>
        <w:gridCol w:w="500" w:type="dxa"/>
        <w:gridCol w:w="500" w:type="dxa"/>
        <w:gridCol w:w="500" w:type="dxa"/>
        <w:gridCol w:w="500" w:type="dxa"/>
        <w:gridCol w:w="500" w:type="dxa"/>
        <w:gridCol w:w="500" w:type="dxa"/>
        <w:gridCol w:w="500" w:type="dxa"/>
        <w:gridCol w:w="5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Принципы организации МАНС</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организационного и технического обеспечения контроля и управления МАНС из центра дистанционного управления</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3.5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Роль и возможности тренажера в имитационном моделировании</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28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Разработка концепции программы тренажерной подготовки. Дизайн курса</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Разработка и проведение имитационных упражнений</w:t>
            </w: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19.5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Специфика оценочных мероприятий</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Итоговая аттестация в форме зачета</w:t>
            </w: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tcPr>
          <w:p/>
        </w:tc>
        <w:tc>
          <w:tcPr>
            <w:tcW w:w="5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5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500" w:type="dxa"/>
          </w:tcPr>
          <w:p>
            <w:pPr>
              <w:jc w:val="center"/>
              <w:spacing w:after="0"/>
            </w:pPr>
            <w:r>
              <w:rPr>
                <w:rFonts w:ascii="Times New Roman" w:hAnsi="Times New Roman" w:eastAsia="Times New Roman" w:cs="Times New Roman"/>
                <w:color w:val="000000"/>
                <w:sz w:val="24"/>
                <w:szCs w:val="24"/>
                <w:b w:val="1"/>
                <w:bCs w:val="1"/>
              </w:rPr>
              <w:t xml:space="preserve">8</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125" w:type="dxa"/>
        <w:gridCol w:w="1125" w:type="dxa"/>
        <w:gridCol w:w="1125" w:type="dxa"/>
        <w:gridCol w:w="1125"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4"/>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Н1</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Н2</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Н3</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Н4</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Принципы организации МАНС</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организационного и технического обеспечения контроля и управления МАНС из центра дистанционного управления</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3.5</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3.5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Роль и возможности тренажера в имитационном моделировании</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12.5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15.5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28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Разработка концепции программы тренажерной подготовки. Дизайн курса</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4.5</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Разработка и проведение имитационных упражнений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19.5</w:t>
            </w: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19.5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Специфика оценочных мероприятий</w:t>
            </w: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0.5</w:t>
            </w: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8.5</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Итоговая аттестация в форме зачета</w:t>
            </w:r>
          </w:p>
        </w:tc>
        <w:tc>
          <w:tcPr>
            <w:tcW w:w="1125" w:type="dxa"/>
          </w:tcPr>
          <w:p/>
        </w:tc>
        <w:tc>
          <w:tcPr>
            <w:tcW w:w="1125" w:type="dxa"/>
          </w:tcPr>
          <w:p/>
        </w:tc>
        <w:tc>
          <w:tcPr>
            <w:tcW w:w="1125" w:type="dxa"/>
          </w:tcPr>
          <w:p/>
        </w:tc>
        <w:tc>
          <w:tcPr>
            <w:tcW w:w="1125"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125"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20</w:t>
            </w:r>
          </w:p>
        </w:tc>
        <w:tc>
          <w:tcPr>
            <w:tcW w:w="1125" w:type="dxa"/>
          </w:tcPr>
          <w:p>
            <w:pPr>
              <w:jc w:val="center"/>
              <w:spacing w:after="0"/>
            </w:pPr>
            <w:r>
              <w:rPr>
                <w:rFonts w:ascii="Times New Roman" w:hAnsi="Times New Roman" w:eastAsia="Times New Roman" w:cs="Times New Roman"/>
                <w:color w:val="000000"/>
                <w:sz w:val="24"/>
                <w:szCs w:val="24"/>
                <w:b w:val="1"/>
                <w:bCs w:val="1"/>
              </w:rPr>
              <w:t xml:space="preserve">12</w:t>
            </w:r>
          </w:p>
        </w:tc>
        <w:tc>
          <w:tcPr/>
          <w:p>
            <w:pPr>
              <w:jc w:val="center"/>
              <w:spacing w:after="0"/>
            </w:pPr>
            <w:r>
              <w:rPr>
                <w:rFonts w:ascii="Times New Roman" w:hAnsi="Times New Roman" w:eastAsia="Times New Roman" w:cs="Times New Roman"/>
                <w:color w:val="000000"/>
                <w:sz w:val="24"/>
                <w:szCs w:val="24"/>
                <w:b w:val="1"/>
                <w:bCs w:val="1"/>
              </w:rPr>
              <w:t xml:space="preserve">72</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Принципы организации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о необходимости автоматизации судовождения. Структура систем управления судном. Взаимосвязь между различными блоками автоматизации навигационных процессов. Зоны действия и ответственности «человеческого элемента» в схеме управления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Принципы организационного и технического обеспечения контроля и управления МАНС из центра дистанционного управления</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Идеология дистанционного управления судном. Архитектура систем ЦДУ. Оборудование поста дистанционного управления. Состав информации для обмена между ЦДУ и МАНС. Требования, предъявляемые к персоналу ЦДУ. Особенности взаимодействия персонала ЦДУ с экипажем судна.</w:t>
      </w:r>
    </w:p>
    <w:p w14:paraId="04EC11D3" w14:textId="0CC831D6" w:rsidR="007A5D53" w:rsidRPr="00DF73A3" w:rsidRDefault="007A5D53" w:rsidP="00DF73A3">
      <w:pPr>
        <w:pStyle w:val="3"/>
        <w:keepNext/>
        <w:widowControl/>
        <w:ind w:left="0" w:firstLine="709"/>
      </w:pPr>
      <w:r w:rsidRPr="00B11397">
        <w:t>Роль и возможности тренажера в имитационном моделировании</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Правила техники безопасности при работе на тренажере. Процедура и порядок включения тренажера. Процедура и порядок выключения тренажера. Структура и конфигурация тренажера. Функции рабочего места инструктора. Состав рабочего места инструктора. Возможности отображения рабочего места инструктора. Функции рабочего места обучаемого. Конфигурация рабочего места обучаемого. Возможности управления тренажером ГМССБ. Функциональные возможности ГМССБ. Требования к составу оборудования ГМССБ. Функциональные возможности тренажера ГМССБ в составе УТК. Состав рабочего места инструктора тренажера ГМССБ. Состав рабочего места обучаемого тренажера ГМССБ. Функциональные возможности рабочего места инструктора тренажера ГМССБ. Функциональные возможности рабочего места обучаемого тренажера ГМССБ. Организация взаимодействия с СУДС. Оборудование СУДС.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 Функции СППР. Процессы принятия решений. Технология работы со вспомогательной графической информацией. Процесс использования СППР.</w:t>
      </w:r>
    </w:p>
    <w:p w14:paraId="04EC11D3" w14:textId="0CC831D6" w:rsidR="007A5D53" w:rsidRPr="00DF73A3" w:rsidRDefault="007A5D53" w:rsidP="00DF73A3">
      <w:pPr>
        <w:pStyle w:val="3"/>
        <w:keepNext/>
        <w:widowControl/>
        <w:ind w:left="0" w:firstLine="709"/>
      </w:pPr>
      <w:r w:rsidRPr="00B11397">
        <w:t>Разработка концепции программы тренажерной подготовки. Дизайн курса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Алгоритм проектирования программ подготовки. Структура программы подготовки. Особенности формирования учебного плана программы подготовки. Подходы к проектированию программы тренажерной подготовки. Требования к результатам подготовки офицеров береговых центров управления полуавтономными судами. Система менеджмента качества в тренажерной подготовке.</w:t>
      </w:r>
    </w:p>
    <w:p w14:paraId="04EC11D3" w14:textId="0CC831D6" w:rsidR="007A5D53" w:rsidRPr="00DF73A3" w:rsidRDefault="007A5D53" w:rsidP="00DF73A3">
      <w:pPr>
        <w:pStyle w:val="3"/>
        <w:keepNext/>
        <w:widowControl/>
        <w:ind w:left="0" w:firstLine="709"/>
      </w:pPr>
      <w:r w:rsidRPr="00B11397">
        <w:t>Разработка и проведение имитационных упражнений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Подходы к планированию имитационного упражнения. Принципы подготовки имитационного упражнения. Концепция использования МАНС. Процедура передачи управления МАНС судовому персоналу. Роль и назначение проверочных листов для работы персонала ЦДУ. Порядок проведения инструктажа. Порядок выполнения упражнения. Порядок подведения итогов. Пример имитационного упражнения. Функции и интерфейс РМИ для подготовки упражнений. Функции и интерфейс РМИ для управления ходом выполнения упражнения. Вспомогательные инструменты РМИ. Пример создания и выполнения упражнений по передаче управления судном типа МАНС между мостиками судна и ЦДУ на УТК РУТ.</w:t>
      </w:r>
    </w:p>
    <w:p w14:paraId="04EC11D3" w14:textId="0CC831D6" w:rsidR="007A5D53" w:rsidRPr="00DF73A3" w:rsidRDefault="007A5D53" w:rsidP="00DF73A3">
      <w:pPr>
        <w:pStyle w:val="3"/>
        <w:keepNext/>
        <w:widowControl/>
        <w:ind w:left="0" w:firstLine="709"/>
      </w:pPr>
      <w:r w:rsidRPr="00B11397">
        <w:t>Специфика оценочных мероприятий</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Подходы к оцениванию. Особенности оценки методом моделирования. Функции и интерфейс РМИ для анализа и разбора упражнения.</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компетенции, подлежащей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Учебных аудиторий</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учебно-тренировочный комплекс для подготовки специалистов в области автономного судовождения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тренажер по а-Навигации и е-Навигации на основе технологий виртуальной реальности (ВР-НТ)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3.1.5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3.1.6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Модельный курс 6.09 «Training course for instructors» : International Maritime Organization // https://imo.im/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Модельный курс 6.10 «Train the Simulator Trainer and Assessor» : International Maritime Organization  // https://imo.im/</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Международная конвенция о подготовке и дипломировании моряков и несении вахты (ПДМНВ-78/95) : Международная морская организация (ИМО), 1978 г. с поправками 1995 г. // https://www.imo.org/en/ourwork/humanelement/pages/stcw-conv-link.aspx</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Международная конвенция по охране человеческой жизни на море (СОЛАС-74) : Лондон, 01.11.1974 г. // https://docs.cntd.ru/document/901765675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Международный кодекс по управлению безопасной эксплуатацией судов и предотвращением загрязнения (Международный кодекс по управлению безопасностью (МКУБ) : Резолюцией A.741(18) Ассамблеи Международной морской организации 04.11.1993 г. // https://docs.cntd.ru/document/1900261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Кодекс торгового мореплавания кодекс Российской Федерации от 30 апреля 1999 № 81-ФЗ</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Федеральный закон от 10 июля 2023 г. №      294-ФЗ (вступает в силу с 1 марта 2024 года)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Постановление Правительства Российской Федерации от 3 июля 1997 г. № 813  «О создании и функционировании Глобальной морской системы связи при бедствии и для обеспечения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Приказ Минтранса России от 4 июня 2018 г. № 224 «Об утверждении Устава службы на морских судах»</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ГОСТ Р 55108 – 2016. «Глобальная навигационная спутниковая система. Морская дифференциальная подсистема. Контрольно-корректирующая станция. Общие требования, методы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ГОСТ Р 56423-2015. «Глобальная навигационная спутниковая система. Морская дифференциальная подсистема. Радиомаяк для передачи дифференциальных поправок сигналов ГНСС. Общие требования, методы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ГОСТ Р МЭК 60945-2007. «Морское навигационное оборудование и средства радиосвязи. Общие требования. Методы испытаний и требуемые результаты испытаний»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ГОСТ 34.601-90. «Информационная технология (ИТ). Комплекс стандартов на автоматизированные системы. Автоматизированные системы. Стадии создания»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СБГР.466958.981 РЭ1 Руководство по эксплуатации Учебно-тренировочного комплекса для подготовки специалистов в области автономного судовождения. Руководство инструктора.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СБГР.466958.981 РЭ Руководство по эксплуатации Учебно-тренировочного комплекса для подготовки специалистов в области автономного судовождения,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СБГР.466958.981 РЭ2 Руководство по эксплуатации Учебно-тренировочного комплекса для подготовки специалистов в области автономного судовождения. Руководство обучаемого.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СБГР.466958.981 РЭ3 Руководство по эксплуатации Учебно-тренировочного комплекса для подготовки специалистов в области автономного судовождения. Система поддержки принятия решений.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MSC.1/Circ.1638 3 June 2021 «Outcome of the regulatory scoping exercise for the use of Maritime Autonomous Surface Ships (MASS)» https://puc.overheid.nl/nsi/doc/PUC_647350_14/1/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IALA Maritime Radio Communications Plan, Tech. Rep., December 2017 https://www.pc5e.nl/downloads/marcom_other/IALA-Maritime-Radio-Communications-Plan-MRCP-Ed-3_Dec2017.pdf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МСЭ/ITU-R. ITU-R M.1371–5 (02/2014). Технические характеристики автоматической идентификационной системы, использующей многостанционный доступ с временным разделением каналов в полосе ОВЧ морской подвижной службы https://gmdsstesters.com/downloads/docs/ITU-R%20M.1371-5.pdf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МСЭ/ITU. ITU-R M. 2092–1 (02/2022). Технические характеристики для системы обмена данными в ОВЧ-диапазоне в полосе ОВЧ морской подвижной службы https://www.itu.int/dms_pubrec/itu-r/rec/m/R-REC-M.2092-1-202202-I!!PDF-R.pdf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Guideline G1117. VHF Data Exchange System (VDES) overview. Ed. 2. IALA, 2017 https://www.iala-aism.org/product/g1117/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IALA Recommendation V-119 Рекомендации по внедрению служб движения судов Международной Ассоциации Маячных Служб https://www.academia.edu/37721128/IALA_Recommendation_V_119_On_The_Implementation_of_Vessel_Traffic_Services_Edition_2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IALA Guidelines on VTS Operating Procedures Руководство по эксплуатационным процедурам СУДС Международной Ассоциации маячных служб https://www.iala-aism.org/product/m0002/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ССК-ДП-06 Система стандартов качества «Положение об организации тренажерной подготовки по программам подготовки членов экипажей морских судов», АВТ, РУТ (МИИТ), Москва,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 https://clck.ru/37KL8A</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Технологический комплекс «БЭС-КФ» одобрен Регистром судоходства. – ПортНьюс, 15.12.2020 https://portnews.ru/news/306270/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Lloyd's Register https://www.lr.org/</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Maritime Autonomous Ship Systems (MASS) UK Industry Conduct Principles and Code of Practice. A Voluntary Code Version 5, 2021 https://safety4sea.com/wp-content/uploads/2021/12/Maritime-UK-Code-for-autonomous-ships-2021_12.pdf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Примерная программа подготовки «Капитан центра дистанционного управления автономными судами», согласовано распоряжением Федерального агентства морского и речного транспорта от 19 августа 2022 г. № ДУ-283-р https://morflot.gov.ru/media/mhybbkiy/1-%D0%B0.pdf</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Стэнтон Н.А., Сэлмон П.М., Рафферти ., Уокер Г.Х., Бабер К., Дженкинс Д.  Методы учёта человеческого фактора: Практическое руководство для проектирования и дизайна. — Лондон : CRC Press, 2013. — 656 с.</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7B5D47B4"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C9423A" w:rsidRPr="00834B6A">
        <w:rPr>
          <w:sz w:val="28"/>
          <w:szCs w:val="22"/>
          <w:lang w:eastAsia="en-US"/>
        </w:rPr>
        <w:t>30</w:t>
      </w:r>
      <w:r w:rsidR="00990677" w:rsidRPr="00B11397">
        <w:rPr>
          <w:sz w:val="28"/>
          <w:szCs w:val="22"/>
          <w:lang w:eastAsia="en-US"/>
        </w:rPr>
        <w:t xml:space="preserve">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w:t>
      </w:r>
      <w:r w:rsidR="002439EC" w:rsidRPr="00834B6A">
        <w:rPr>
          <w:sz w:val="28"/>
          <w:szCs w:val="22"/>
          <w:lang w:eastAsia="en-US"/>
        </w:rPr>
        <w:t>70</w:t>
      </w:r>
      <w:r w:rsidRPr="00B11397">
        <w:rPr>
          <w:sz w:val="28"/>
          <w:szCs w:val="22"/>
          <w:lang w:eastAsia="en-US"/>
        </w:rPr>
        <w:t>% правильных ответов);</w:t>
      </w:r>
    </w:p>
    <w:p w14:paraId="3F3980A6" w14:textId="143E3A69"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4</w:t>
      </w:r>
      <w:r w:rsidR="00F50BC8" w:rsidRPr="00834B6A">
        <w:rPr>
          <w:sz w:val="28"/>
          <w:szCs w:val="22"/>
          <w:lang w:eastAsia="en-US"/>
        </w:rPr>
        <w:t xml:space="preserve"> (из 4)</w:t>
      </w:r>
      <w:r w:rsidR="007A5D53" w:rsidRPr="00B11397">
        <w:rPr>
          <w:sz w:val="28"/>
          <w:szCs w:val="22"/>
          <w:lang w:eastAsia="en-US"/>
        </w:rPr>
        <w:t xml:space="preserve"> практических задания</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E4EE5C" w14:textId="77777777" w:rsidR="00307294" w:rsidRDefault="00307294">
      <w:r>
        <w:separator/>
      </w:r>
    </w:p>
  </w:endnote>
  <w:endnote w:type="continuationSeparator" w:id="0">
    <w:p w14:paraId="7E902F6E" w14:textId="77777777" w:rsidR="00307294" w:rsidRDefault="00307294">
      <w:r>
        <w:continuationSeparator/>
      </w:r>
    </w:p>
  </w:endnote>
  <w:endnote w:type="continuationNotice" w:id="1">
    <w:p w14:paraId="392A23CB" w14:textId="77777777" w:rsidR="00307294" w:rsidRDefault="003072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7371B7">
          <w:rPr>
            <w:noProof/>
            <w:sz w:val="24"/>
            <w:szCs w:val="22"/>
          </w:rPr>
          <w:t>10</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ABD68" w14:textId="77777777" w:rsidR="00307294" w:rsidRDefault="00307294">
      <w:r>
        <w:separator/>
      </w:r>
    </w:p>
  </w:footnote>
  <w:footnote w:type="continuationSeparator" w:id="0">
    <w:p w14:paraId="7DDBD6E5" w14:textId="77777777" w:rsidR="00307294" w:rsidRDefault="00307294">
      <w:r>
        <w:continuationSeparator/>
      </w:r>
    </w:p>
  </w:footnote>
  <w:footnote w:type="continuationNotice" w:id="1">
    <w:p w14:paraId="4725674E" w14:textId="77777777" w:rsidR="00307294" w:rsidRDefault="0030729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231">
    <w:multiLevelType w:val="hybridMultilevel"/>
    <w:lvl w:ilvl="0" w:tplc="23174998">
      <w:start w:val="1"/>
      <w:numFmt w:val="decimal"/>
      <w:lvlText w:val="%1."/>
      <w:lvlJc w:val="left"/>
      <w:pPr>
        <w:ind w:left="720" w:hanging="360"/>
      </w:pPr>
    </w:lvl>
    <w:lvl w:ilvl="1" w:tplc="23174998" w:tentative="1">
      <w:start w:val="1"/>
      <w:numFmt w:val="lowerLetter"/>
      <w:lvlText w:val="%2."/>
      <w:lvlJc w:val="left"/>
      <w:pPr>
        <w:ind w:left="1440" w:hanging="360"/>
      </w:pPr>
    </w:lvl>
    <w:lvl w:ilvl="2" w:tplc="23174998" w:tentative="1">
      <w:start w:val="1"/>
      <w:numFmt w:val="lowerRoman"/>
      <w:lvlText w:val="%3."/>
      <w:lvlJc w:val="right"/>
      <w:pPr>
        <w:ind w:left="2160" w:hanging="180"/>
      </w:pPr>
    </w:lvl>
    <w:lvl w:ilvl="3" w:tplc="23174998" w:tentative="1">
      <w:start w:val="1"/>
      <w:numFmt w:val="decimal"/>
      <w:lvlText w:val="%4."/>
      <w:lvlJc w:val="left"/>
      <w:pPr>
        <w:ind w:left="2880" w:hanging="360"/>
      </w:pPr>
    </w:lvl>
    <w:lvl w:ilvl="4" w:tplc="23174998" w:tentative="1">
      <w:start w:val="1"/>
      <w:numFmt w:val="lowerLetter"/>
      <w:lvlText w:val="%5."/>
      <w:lvlJc w:val="left"/>
      <w:pPr>
        <w:ind w:left="3600" w:hanging="360"/>
      </w:pPr>
    </w:lvl>
    <w:lvl w:ilvl="5" w:tplc="23174998" w:tentative="1">
      <w:start w:val="1"/>
      <w:numFmt w:val="lowerRoman"/>
      <w:lvlText w:val="%6."/>
      <w:lvlJc w:val="right"/>
      <w:pPr>
        <w:ind w:left="4320" w:hanging="180"/>
      </w:pPr>
    </w:lvl>
    <w:lvl w:ilvl="6" w:tplc="23174998" w:tentative="1">
      <w:start w:val="1"/>
      <w:numFmt w:val="decimal"/>
      <w:lvlText w:val="%7."/>
      <w:lvlJc w:val="left"/>
      <w:pPr>
        <w:ind w:left="5040" w:hanging="360"/>
      </w:pPr>
    </w:lvl>
    <w:lvl w:ilvl="7" w:tplc="23174998" w:tentative="1">
      <w:start w:val="1"/>
      <w:numFmt w:val="lowerLetter"/>
      <w:lvlText w:val="%8."/>
      <w:lvlJc w:val="left"/>
      <w:pPr>
        <w:ind w:left="5760" w:hanging="360"/>
      </w:pPr>
    </w:lvl>
    <w:lvl w:ilvl="8" w:tplc="23174998" w:tentative="1">
      <w:start w:val="1"/>
      <w:numFmt w:val="lowerRoman"/>
      <w:lvlText w:val="%9."/>
      <w:lvlJc w:val="right"/>
      <w:pPr>
        <w:ind w:left="6480" w:hanging="180"/>
      </w:pPr>
    </w:lvl>
  </w:abstractNum>
  <w:abstractNum w:abstractNumId="3230">
    <w:multiLevelType w:val="hybridMultilevel"/>
    <w:lvl w:ilvl="0" w:tplc="6973619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3230">
    <w:abstractNumId w:val="3230"/>
  </w:num>
  <w:num w:numId="3231">
    <w:abstractNumId w:val="32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40E8"/>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0C0E"/>
    <w:rsid w:val="001F2089"/>
    <w:rsid w:val="001F21D1"/>
    <w:rsid w:val="001F36FF"/>
    <w:rsid w:val="00203EB2"/>
    <w:rsid w:val="00204B42"/>
    <w:rsid w:val="00217E7A"/>
    <w:rsid w:val="00224882"/>
    <w:rsid w:val="0022516A"/>
    <w:rsid w:val="00226021"/>
    <w:rsid w:val="0022666D"/>
    <w:rsid w:val="00234290"/>
    <w:rsid w:val="0023686D"/>
    <w:rsid w:val="002379D9"/>
    <w:rsid w:val="002439EC"/>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2538"/>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07294"/>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D7E17"/>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2FDA"/>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1B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15C3"/>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4B6A"/>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16C9A"/>
    <w:rsid w:val="00A2296C"/>
    <w:rsid w:val="00A23086"/>
    <w:rsid w:val="00A264FE"/>
    <w:rsid w:val="00A33112"/>
    <w:rsid w:val="00A33777"/>
    <w:rsid w:val="00A45BFE"/>
    <w:rsid w:val="00A460C7"/>
    <w:rsid w:val="00A57E74"/>
    <w:rsid w:val="00A61435"/>
    <w:rsid w:val="00A62706"/>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17EBE"/>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A"/>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0A0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50BC8"/>
    <w:rsid w:val="00F60C65"/>
    <w:rsid w:val="00F61AF0"/>
    <w:rsid w:val="00F66D1E"/>
    <w:rsid w:val="00F670D5"/>
    <w:rsid w:val="00F67539"/>
    <w:rsid w:val="00F75962"/>
    <w:rsid w:val="00F76C1D"/>
    <w:rsid w:val="00F82B60"/>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 w:id="2101486749">
      <w:bodyDiv w:val="1"/>
      <w:marLeft w:val="0"/>
      <w:marRight w:val="0"/>
      <w:marTop w:val="0"/>
      <w:marBottom w:val="0"/>
      <w:divBdr>
        <w:top w:val="none" w:sz="0" w:space="0" w:color="auto"/>
        <w:left w:val="none" w:sz="0" w:space="0" w:color="auto"/>
        <w:bottom w:val="none" w:sz="0" w:space="0" w:color="auto"/>
        <w:right w:val="none" w:sz="0" w:space="0" w:color="auto"/>
      </w:divBdr>
      <w:divsChild>
        <w:div w:id="911158809">
          <w:marLeft w:val="0"/>
          <w:marRight w:val="0"/>
          <w:marTop w:val="0"/>
          <w:marBottom w:val="0"/>
          <w:divBdr>
            <w:top w:val="none" w:sz="0" w:space="0" w:color="auto"/>
            <w:left w:val="none" w:sz="0" w:space="0" w:color="auto"/>
            <w:bottom w:val="none" w:sz="0" w:space="0" w:color="auto"/>
            <w:right w:val="none" w:sz="0" w:space="0" w:color="auto"/>
          </w:divBdr>
          <w:divsChild>
            <w:div w:id="13565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671194265" Type="http://schemas.openxmlformats.org/officeDocument/2006/relationships/comments" Target="comments.xml"/><Relationship Id="rId637872934"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70F45E4-F6EF-4A0D-9515-6B043152B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26180</TotalTime>
  <Pages>10</Pages>
  <Words>996</Words>
  <Characters>5681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38</cp:revision>
  <cp:lastPrinted>2023-02-01T07:12:00Z</cp:lastPrinted>
  <dcterms:created xsi:type="dcterms:W3CDTF">2023-02-18T16:52:00Z</dcterms:created>
  <dcterms:modified xsi:type="dcterms:W3CDTF">2024-01-30T07:51:00Z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