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Повышение квалификации вахтенного помощника капитана в области эксплуатации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Повышение квалификации вахтенного помощника капитана в области эксплуатации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«Повышение квалификации вахтенного помощника капитана в области эксплуатации полуавтономных судов» (далее - Программа) направлена на подготовку вахтенных помощников капитана для эксплуатации полуавтономных судов, т.е. судов, способных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суда, способные осуществлять плавание без постоянного управления движением судна силами экипажа, необходимы бизнесу, ведь по морю проходит около 90% коммерческих транспортных потоков. В большинстве случаев речь идет о полуавтономных судах, для эксплуатации которых не требуется значительной реконструкции имеющихся технических средств портовых систем управления движением судов. При этом экипаж полуавтономного судна может состоять из ограниченного числа специалистов, функции которых отличаются от функций, исполняемых членами экипажа неавтономного судна.  
Программа повышения квалификации разработана с учетом последних изменений нормативно-правовой базы и имеет целью формирование компетенций, необходимых для выполнения функций вахтенного помощника капитана полуавтономного судна.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Семина Ирина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Федорова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Алексеев Виктор Валерьевич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нормоконтроль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534365095"/>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Повышение квалификации вахтенного помощника капитана в области эксплуатации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№745н от 29.11.2019.</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5-й уровень квалификации, включающий самостоятельную деятельность по решению практических задач в области судовождения, обработки и размещения грузов, безопасной перевозки пассажиров на судне, управления операциями судна и заботы о людях на уровне эксплуатации с непосредственным контролем за выполнением всех функций в пределах обозначенной области ответственности вахтенного помощника капитана.
Вахтенный помощник капитана морского судна валовой вместимостью 500 и более – уровень эксплуатации (Правило II/1 Конвенции ПДНВ). Опыт работы в должности вахтенного помощника капитана не менее трех лет, 12 месяцев из которых за последние 5 лет.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116</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15 календарных</w:t>
      </w:r>
      <w:r w:rsidRPr="00B11397">
        <w:rPr>
          <w:spacing w:val="-2"/>
        </w:rPr>
        <w:t xml:space="preserve"> </w:t>
      </w:r>
      <w:r w:rsidRPr="00B11397">
        <w:t>дней для очной формы обучения и 29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повышение профессионального уровня в рамках имеющейся у обучающегося квалификации.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уязвимые судовые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оценки рисков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признаки компрометации навигационных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прогнозирования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подсистемы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предъявляемые к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модульную декомпозицию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искусственных нейронных сетей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применения нейронных сетей для решения задач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 работы системы автоматического управления судна на траектории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возвращения судна на первоначальный путь и коррекции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идентификации состояния судна в удалённом режиме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многофункциональный дисплей и элементы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ситуационной осведомленности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сигналы тревоги и индикаторы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сбора, обобщения и анализа сведений по районам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исходных данных для наиболее сложных в навигационном отношении участков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интегрированной навигационной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теоретические особенности передачи информации 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автоматического управления INS(C)</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оптическую систему анализа окружающей обстановки и состояния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средства обеспечения навигационной безопасности судоходства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рулевой машиной и рулем судна без риска повреждения во время маневров при различных условиях плавания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судном с интегрированной  системой мостика при ведении автоматизированных процедур записей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планировать и выполнять рейс как с лоцманом, так и без него, в обычных и чрезвычайных ситуациях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обеспечивать плавание и маневрирование судна в зоне СУДС с соблюдением правил МППСС-72 в различных условиях плавания</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r>
              <w:rPr>
                <w:rFonts w:ascii="Times New Roman" w:hAnsi="Times New Roman" w:eastAsia="Times New Roman" w:cs="Times New Roman"/>
                <w:color w:val="000000"/>
                <w:sz w:val="24"/>
                <w:szCs w:val="24"/>
                <w:b w:val="0"/>
                <w:bCs w:val="0"/>
              </w:rPr>
              <w:t xml:space="preserve">.</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0"/>
                <w:bCs w:val="0"/>
              </w:rPr>
              <w:t xml:space="preserve">Все компетенции, перечисленные выше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и рекомендациях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Нормативные аспекты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Общие положения о необходимости автоматизации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о необходимости автоматизации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Изменения в международных морских конвенциях и рекомендациях в области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изменения в международных морских конвенциях и рекомендациях в области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Система нормативно-правового регулирования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нормативно-правового регулирования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Правовые нормы и границы юридической ответственности бортового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нормы и границы юридической ответственности бортового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Международная и национальная классификация морских автономных надводных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международную и национальную классификацию морских автономных надводных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Принципы организации структуры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Структура систем управления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систем управления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Взаимосвязь между различными блоками автоматизации навигационных процессов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взаимосвязь между различными блоками автоматизации навигационных процессов.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Зоны действия и ответственности «человеческого элемента» в схеме управления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зоны действия и ответственности «человеческого элемента» в схеме управления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Математические основы средств автономности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Возможности искусственных нейронных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искусственных нейронных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Примеры применения нейронных сетей для решения задач автономного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примеры применения нейронных сетей для решения задач автономного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Основные задачи прогнозирования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задачи прогнозирования.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Основные задачи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задачи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Подсистемы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подсистемы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Требования, предъявляемые к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предъявляемые к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Модульная декомпозицию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модульную декомпозицию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Актуальные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актуальные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Принцип работы системы автоматического управления судна на траектории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 работы системы автоматического управления судна на траектории.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Задачи возвращения судна на первоначальный путь и коррекции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задачи возвращения судна на первоначальный путь и коррекции 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Автоматизированные системы 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автоматизированные системы 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Технические средства судовождения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судном с интегрированной  системой мостика при ведении автоматизированных процедур записей.</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Системы идентификации состояния судна в удалённом режиме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идентификации состояния судна в удалённом режиме.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Многофункциональный дисплей и элементы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многофункциональный дисплей и элементы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Понятие ситуационной осведомленности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ситуационной осведомленности.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Сигналы тревоги и индикаторы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сигналы тревоги и индикаторы.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Цель интегрированной навигационной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цель интегрированной навигационной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Общие понятия о конкордации, средства минимизации конкордационных рисков при удалённом управлении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понятия о конкордации, средства минимизации конкордационных рисков при удалённом управлении.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Методика обеспечения надлежащего уровня конкордации решений по управлению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обеспечения надлежащего уровня конкордации решений по управлению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Ограничения передаваемой информации по сравнению с имеющейся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ограничения передаваемой информации по сравнению с имеющейся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Информационные потоки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Теоретические особенности передачи информации в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теоретические особенности передачи информации в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Процедуры сбора и автоматизированной обработки навигационной информации по различным каналам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сбора и автоматизированной обработки навигационной информации по различным каналам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Технологии оптимизации передачи данных, включая видеоизображение в условиях ограниченной пропускной способности канала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технологии оптимизации передачи данных, включая видеоизображение в условиях ограниченной пропускной способности канала.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Функции автоматического управления INS(C)</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автоматического управления INS(C).</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Стандарты автоматического обмена данными между судовыми и береговыми системами а-Навигации и е-Навигации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стандарты автоматического обмена данными между судовыми и береговыми системами а-Навигации и е-Навигации.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5.6 Принципы автоматического распознавания навигационных опасностей оптическими системами, в том числе на дальних дистанциях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автоматического распознавания навигационных опасностей оптическими системами, в том числе на дальних дистанциях.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5.7 Оптическая систему анализа окружающей обстановки и состояния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оптическую систему анализа окружающей обстановки и состояния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Кибербезопасность</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Базовые принципы обеспечения информационной защиты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базовые принципы обеспечения информационной защиты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Основные документы по кибербезопасности в морской отрасли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документы по кибербезопасности в морской отрасли.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Основные виды киберугроз</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виды киберугроз.</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Уязвимые судовые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уязвимые судовые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Требования к повышению осведомленности о кибербезопасности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повышению осведомленности о кибербезопасности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6.6 Процесс оценки рисков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 оценки рисков.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6.7 Признаки компрометации навигационных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признаки компрометации навигационных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6.8 Политика по кибербезопасности компании, системы управления безопасностью и планы охраны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политику по кибербезопасности компании, системы управления безопасностью и планы охраны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6.9 План кибербезопасности судна и процедуры судоходной компании по управлению рисками информационной защиты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 кибербезопасности судна и процедуры судоходной компании по управлению рисками информационной защиты.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6.10 Процедуры осуществления плана кибербезопасности судна и передачи сообщений об инцидентах, связанных с кибербезопасностью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осуществления плана кибербезопасности судна и передачи сообщений об инцидентах, связанных с кибербезопасностью.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выявлять киберугрозы и реагировать на них в соответствии с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Управление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Принципы сбора, обобщения и анализа сведений по районам перехода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сбора, обобщения и анализа сведений по районам перехода.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Принципы подготовки исходных данных для наиболее сложных в навигационном отношении участков перехода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подготовки исходных данных для наиболее сложных в навигационном отношении участков перехода.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Регламент переключения режимов управления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переключения режимов управления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планировать и выполнять рейс как с лоцманом, так и без него, в обычных и чрезвычайных ситуациях.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Нормативно-правовые акты, регламентирующие деятельность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нормативно-правовые акты, регламентирующие деятельность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7.5 Организация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7.6 Оборудование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7.7 Средства обеспечения навигационной безопасности судоходства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средства обеспечения навигационной безопасности судоходства.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7.8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обеспечивать плавание и маневрирование судна в зоне СУДС с соблюдением правил МППСС-72 в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7.9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обеспечивать плавание и маневрирование судна в зоне СУДС с соблюдением правил МППСС-72 в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116</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80</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30</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1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Д10</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Д11</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Д12</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Д13</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29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116</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2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Д9</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Д10</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Д19</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Д20</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29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116</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Нормативные аспекты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о необходимости автоматизации судовождения. Изменения в международных морских конвенциях и рекомендациях в области эксплуатации автономных судов. Система нормативно-правового регулирования эксплуатации автономных судов. Правовые нормы и границы юридической ответственности бортового экипажа полуавтономного судна. Международная и национальная классификация морских автономных надводных судов.</w:t>
      </w:r>
    </w:p>
    <w:p w14:paraId="04EC11D3" w14:textId="0CC831D6" w:rsidR="007A5D53" w:rsidRPr="00DF73A3" w:rsidRDefault="007A5D53" w:rsidP="00DF73A3">
      <w:pPr>
        <w:pStyle w:val="3"/>
        <w:keepNext/>
        <w:widowControl/>
        <w:ind w:left="0" w:firstLine="709"/>
      </w:pPr>
      <w:r w:rsidRPr="00B11397">
        <w:t>Принципы организации структуры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Структура систем управления судном. Взаимосвязь между различными блоками автоматизации навигационных процессов. Зоны действия и ответственности «человеческого элемента» в схеме управления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Математические основы средств автономности судна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Математические основы оптимизационных процессов управления, связанные с обеспечением навигационной безопасности судна, в том числе кибербезопасности. Возможности искусственных нейронных сетей. Примеры применения нейронных сетей для решения задач автономного судовождения. Основные задачи прогнозирования. Основные задачи принятия решений. Подсистемы СППР. Требования, предъявляемые к СППР. Модульная декомпозицию СППР. Актуальные СППР. Принцип работы системы автоматического управления судна на траектории. Задачи возвращения судна на первоначальный путь и коррекции курса. Автоматизированные системы автономного судна.</w:t>
      </w:r>
    </w:p>
    <w:p w14:paraId="04EC11D3" w14:textId="0CC831D6" w:rsidR="007A5D53" w:rsidRPr="00DF73A3" w:rsidRDefault="007A5D53" w:rsidP="00DF73A3">
      <w:pPr>
        <w:pStyle w:val="3"/>
        <w:keepNext/>
        <w:widowControl/>
        <w:ind w:left="0" w:firstLine="709"/>
      </w:pPr>
      <w:r w:rsidRPr="00B11397">
        <w:t>Технические средства судовождения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Системы идентификации состояния судна в удалённом режиме. Многофункциональный дисплей и элементы управления. Понятие ситуационной осведомленности. Сигналы тревоги и индикаторы. Цель интегрированной навигационной системы. Общие понятия о конкордации, средства минимизации конкордационных рисков при удалённом управлении. Методика обеспечения надлежащего уровня конкордации решений по управлению судном. Ограничения передаваемой информации по сравнению с имеющейся на судне.</w:t>
      </w:r>
    </w:p>
    <w:p w14:paraId="04EC11D3" w14:textId="0CC831D6" w:rsidR="007A5D53" w:rsidRPr="00DF73A3" w:rsidRDefault="007A5D53" w:rsidP="00DF73A3">
      <w:pPr>
        <w:pStyle w:val="3"/>
        <w:keepNext/>
        <w:widowControl/>
        <w:ind w:left="0" w:firstLine="709"/>
      </w:pPr>
      <w:r w:rsidRPr="00B11397">
        <w:t>Информационные потоки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Теоретические особенности передачи информации в МАНС. Процедуры сбора и автоматизированной обработки навигационной информации по различным каналам связи. Технологии оптимизации передачи данных, включая видеоизображение в условиях ограниченной пропускной способности канала. Функции автоматического управления INS(C). Стандарты автоматического обмена данными между судовыми и береговыми системами а-Навигации и е-Навигации. Принципы автоматического распознавания навигационных опасностей оптическими системами, в том числе на дальних дистанциях. Оптическая систему анализа окружающей обстановки и состояния судна.</w:t>
      </w:r>
    </w:p>
    <w:p w14:paraId="04EC11D3" w14:textId="0CC831D6" w:rsidR="007A5D53" w:rsidRPr="00DF73A3" w:rsidRDefault="007A5D53" w:rsidP="00DF73A3">
      <w:pPr>
        <w:pStyle w:val="3"/>
        <w:keepNext/>
        <w:widowControl/>
        <w:ind w:left="0" w:firstLine="709"/>
      </w:pPr>
      <w:r w:rsidRPr="00B11397">
        <w:t>Кибербезопасность</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Базовые принципы обеспечения информационной защиты судна. Основные документы по кибербезопасности в морской отрасли. Основные виды киберугроз. Уязвимые судовые системы. Требования к повышению осведомленности о кибербезопасности на судне. Процесс оценки рисков. Признаки компрометации навигационных данных. Политика по кибербезопасности компании, системы управления безопасностью и планы охраны судов. План кибербезопасности судна и процедуры судоходной компании по управлению рисками информационной защиты. Процедуры осуществления плана кибербезопасности судна и передачи сообщений об инцидентах, связанных с кибербезопасностью.</w:t>
      </w:r>
    </w:p>
    <w:p w14:paraId="04EC11D3" w14:textId="0CC831D6" w:rsidR="007A5D53" w:rsidRPr="00DF73A3" w:rsidRDefault="007A5D53" w:rsidP="00DF73A3">
      <w:pPr>
        <w:pStyle w:val="3"/>
        <w:keepNext/>
        <w:widowControl/>
        <w:ind w:left="0" w:firstLine="709"/>
      </w:pPr>
      <w:r w:rsidRPr="00B11397">
        <w:t>Управление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Принципы сбора, обобщения и анализа сведений по районам перехода. Принципы подготовки исходных данных для наиболее сложных в навигационном отношении участков перехода. Регламент переключения режимов управления на судне. Нормативно-правовые акты, регламентирующие деятельность СУДС. Организация взаимодействия с СУДС. Оборудование СУДС. Средства обеспечения навигационной безопасности судоходства.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компетенций, подлежащих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Резолюция ИМО MSC-FAL.1/Circ.3 «Руководство по управлению киберрисками в морской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Резолюция А.884(21) «Поправки к Кодексу по расследованию морских аварий и инцидентов»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"Кодекс торгового мореплавания Российской Федерации» от 30.04.1999 N 81-ФЗ (ред. от 28.06.2022)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«Рекомендации по внедрению служб движения судов» Международной Ассоциации Маячных Служб (IALA Recommendation V-119)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Navi-Planner 4000 User Manual Version: 2.00.344Transas MIPLtd.</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«Руководство по службам движения судов» Международной Ассоциации маячных служб (IALA VTS Manual)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Конвенция о Международных правилах предупреждения столкновений судов в море (МППСС-72), Лондон, 20.10.1972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Международный кодекс по управлению безопасностью (МКУБ) и руководства по его выполнению. Изд-во: ЦНИИМФ, Санкт-Петербург, 2014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Resolution МSС.64(67). Adoption of new and amended performance standards/ Резолюция MSC.64(67) / Принятие новых Эксплуатационных требований и поправок к существующим Эксплуатационным требованиям. London: International maritime organization, 1996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Resolution MSC.86(70)/ Adoption of new and amended performance standards for navigational equipment/ Резолюция MSC.86(70). Принятие новых эксплуатационных требований и поправок к существующим эксплуатационным требованиям, London: International maritime organization, 1998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Resolution A.953(23). World-wide radionavigation system / Резолюция A.953(23). Всемирная радионавигационная система. London: International maritime organization, 2003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Resolution A.1021(26). Сode on alerts and indicators/ Резолюция A.1021(26). Кодекс по извещателям и индикаторам. London: International maritime organization, 2009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MSC/Circ.1061. Guidance for the operational use of integrated bridge systems (IBS)/ Циркулярное письмо MSC.Circ.1061.Руководство по эксплуатации интегрированных систем ходового мостика (ИСМ) London: International maritime organization, 2003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SN.1/Circ.265 Guidelines on the Application of SOLAS Regulation V/15 to INS, IBS and Bridge Design/ Циркулярное письмо SN.1/Circ.265/Rev.1 Руководство по применению правила V/15 конвенции СОЛАС к интегрированной навигационной системе (ИНС), интегрированной системе ходового мостика (ИСМ) и конструкции мостика. London: International maritime organization, 2007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Наставление по организации штурманской службы на судах 2022 год. Последняя редакция. Изд-во: МОРКНИГА,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Resolution А.916(22) Guidelines for the recording of events related to navigation/ Резолюция А.916(22). Руководство по регистрации событий, связанных с судовождением. London: International maritime organization, 2001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Resolution А.893(21). Guidelines for voyage planning / Резолюция ИМО А.893(21) «Руководство по планированию рейса» от 25.11.1999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IALA Maritime Radio Communications Plan, Tech. Rep., December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2.35 802.16 IEEE Standard for Local and metropolitan area networks. Part 16: Air Interface for Fixed Broadband Wireless Access Systems // IEEE Computer Society and the IEEE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International Maritime Organization (2014): Development of an e-navigation strategy implementation plan/Overview of the Maritime Cloud concept Sub-committee on navigation, communications and search and rescue// NCSR 1/INF.X</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2.37 Model course 1.32. Operational use of integrated bridge systems including integrated navigation systems /Типовой курс 1.32. Эксплуатационное использование интегрированных систем мостика, включая интегрированные навигационные системы. London: International maritime organization, 2005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2.38 Bridge Procedure Guide, Fifth Edition / Руководство по процедурам на мостике, 5-е издание. London: International Chamber Of Shipping, 2016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2.39 Unmanned Marine Systems Code // Lloyd’s Register – London,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2.40 Autonomous and remotely operated ships // DNV,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2.41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2.42 Резолюция Международной морской организации № А.1047(27) от 11.11.2011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2.43 International Maritime Organization (2009): strategy for the development and implementation of e-navigation, MSC 85/26/Add.1, Annex 20, pp.1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2.44 Международная конвенция по охране человеческой жизни на море (СОЛАС-74), Лондон, 01.11.1974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2.45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2.46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2.47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2.48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2.49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2.50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2.51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2.52 Коваленко В.В. Проектирование информационных систем: учебное пособие для вузов. — Москва : ФОРУМ, 2012. — 319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2.53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2.54 Вагущенко Л.Л., Вагущенко А.Л. Поддержка решений по расхождению с судами. — Одесса : Феникс, 2010. — 296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2.55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2.56 Stefania Sesia, Issam Toufik, Matthew Baker LTE – The UMTS Long Term Evolution. From Theory to Practice. — Chichester, West Sussex : John Wiley &amp; Sons Ltd, 2009. — 611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2.57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2.58 Дмитриев В.И. Пути повышения безопасности судоходства. Учебное пособие. — Москва : ИКЦ «Академкнига», 2005. — 374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2.59 Дмитриев В.И., Григорян В.Л., Катенин В.А. Навигация и лоция. Учебник для вузов. — Москва : ИКЦ «Академкнига», 2015. — 224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2.60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2.61 Хайкин С. Нейронные сети: полный курс, 2-е издание. : пер с англ.. — Москва : Издательский дом «Вильямс», 2006. — 1104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2.62 Мамедли Р.Э. Системы управления базами данных: Учебное пособие. — Нижневартовск : Изд-во Нижневартовского государственного университета, 2021. — 214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2.63 Хеннан, Э. Многомерные временные ряды. — Москва : Мир, 1974. — 575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2.64 Норенков И.П. Основы автоматизированного проектирования: учеб. для вузов. — Москва : Изд-во МГТУ им. Н. Э. Баумана, 2009. — 430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2.65 Дерябин В.В. Автоматизация судовождения. Учебное пособие. — Санкт- Петербург : Лань, 2020. — 156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2.66 Анучин О.Н., Емельянцев Г.И. Интегрированные системы ориентации и навигации для морских подвижных объектов. — Санкт- Петербург : Электроприбор, 2003. — 357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2.67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2.68 Емельянцев Г.И., Степанов А.П. Интегрированные инерциально-спутниковые системы ориентации и навигации. — Санкт- Петербург : Электроприбор, 2016. — 111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2.69 Найденов Е. В., Дмитриев В. И. Безопасное расхождение судов в море. — Москва : МОРКНИГА, 2021. — 264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2.70 Мотрич В.Н. Столкновения судов и их предупреждение. Новый взгляд. — Санкт- Петербург : БХВ, 2017. — 352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2.71 Официальный сайт ФАУ «Российский морской регистр судоходства» : https://rs-class.org</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2.72 Официальный сайт АО «Ситроникс КТ» : https://sitronics-kt.ru/</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8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Повышение квалификации вахтенного помощника капитана в области эксплуатации полуавтономных судов</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740">
    <w:multiLevelType w:val="hybridMultilevel"/>
    <w:lvl w:ilvl="0" w:tplc="46938116">
      <w:start w:val="1"/>
      <w:numFmt w:val="decimal"/>
      <w:lvlText w:val="%1."/>
      <w:lvlJc w:val="left"/>
      <w:pPr>
        <w:ind w:left="720" w:hanging="360"/>
      </w:pPr>
    </w:lvl>
    <w:lvl w:ilvl="1" w:tplc="46938116" w:tentative="1">
      <w:start w:val="1"/>
      <w:numFmt w:val="lowerLetter"/>
      <w:lvlText w:val="%2."/>
      <w:lvlJc w:val="left"/>
      <w:pPr>
        <w:ind w:left="1440" w:hanging="360"/>
      </w:pPr>
    </w:lvl>
    <w:lvl w:ilvl="2" w:tplc="46938116" w:tentative="1">
      <w:start w:val="1"/>
      <w:numFmt w:val="lowerRoman"/>
      <w:lvlText w:val="%3."/>
      <w:lvlJc w:val="right"/>
      <w:pPr>
        <w:ind w:left="2160" w:hanging="180"/>
      </w:pPr>
    </w:lvl>
    <w:lvl w:ilvl="3" w:tplc="46938116" w:tentative="1">
      <w:start w:val="1"/>
      <w:numFmt w:val="decimal"/>
      <w:lvlText w:val="%4."/>
      <w:lvlJc w:val="left"/>
      <w:pPr>
        <w:ind w:left="2880" w:hanging="360"/>
      </w:pPr>
    </w:lvl>
    <w:lvl w:ilvl="4" w:tplc="46938116" w:tentative="1">
      <w:start w:val="1"/>
      <w:numFmt w:val="lowerLetter"/>
      <w:lvlText w:val="%5."/>
      <w:lvlJc w:val="left"/>
      <w:pPr>
        <w:ind w:left="3600" w:hanging="360"/>
      </w:pPr>
    </w:lvl>
    <w:lvl w:ilvl="5" w:tplc="46938116" w:tentative="1">
      <w:start w:val="1"/>
      <w:numFmt w:val="lowerRoman"/>
      <w:lvlText w:val="%6."/>
      <w:lvlJc w:val="right"/>
      <w:pPr>
        <w:ind w:left="4320" w:hanging="180"/>
      </w:pPr>
    </w:lvl>
    <w:lvl w:ilvl="6" w:tplc="46938116" w:tentative="1">
      <w:start w:val="1"/>
      <w:numFmt w:val="decimal"/>
      <w:lvlText w:val="%7."/>
      <w:lvlJc w:val="left"/>
      <w:pPr>
        <w:ind w:left="5040" w:hanging="360"/>
      </w:pPr>
    </w:lvl>
    <w:lvl w:ilvl="7" w:tplc="46938116" w:tentative="1">
      <w:start w:val="1"/>
      <w:numFmt w:val="lowerLetter"/>
      <w:lvlText w:val="%8."/>
      <w:lvlJc w:val="left"/>
      <w:pPr>
        <w:ind w:left="5760" w:hanging="360"/>
      </w:pPr>
    </w:lvl>
    <w:lvl w:ilvl="8" w:tplc="46938116" w:tentative="1">
      <w:start w:val="1"/>
      <w:numFmt w:val="lowerRoman"/>
      <w:lvlText w:val="%9."/>
      <w:lvlJc w:val="right"/>
      <w:pPr>
        <w:ind w:left="6480" w:hanging="180"/>
      </w:pPr>
    </w:lvl>
  </w:abstractNum>
  <w:abstractNum w:abstractNumId="18739">
    <w:multiLevelType w:val="hybridMultilevel"/>
    <w:lvl w:ilvl="0" w:tplc="278779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8739">
    <w:abstractNumId w:val="18739"/>
  </w:num>
  <w:num w:numId="18740">
    <w:abstractNumId w:val="1874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544327167" Type="http://schemas.openxmlformats.org/officeDocument/2006/relationships/comments" Target="comments.xml"/><Relationship Id="rId668950606"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