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Повышение квалификации инструкторов по обучению вахтенных офицеров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Повышение квалификации инструкторов по обучению вахтенных офицеров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инструкторов по обучению вахтенных офицеров в области эксплуатации полуавтономных судов» (далее - Программа) направлена на подготовку инструкторов по обучению капитанов и помощников капитанов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в области эксплуатации компьютерного оборудования и периферийные устройства УТК РУТ при проведении подготовки судоводителей полуавтономных судов; планирования, проектирования имитационных упражнений и управления ходом их выполнения; оценки и анализа корректности выполнения имитационных упражнений с использованием УТК РУТ.</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534375578"/>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Повышение квалификации инструкторов по обучению вахтенных офицеров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№745н от 29.11.2019.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5-й уровень квалификации, включающий самостоятельную деятельность по решению практических задач в области судовождения, обработки и размещения грузов, безопасной перевозки пассажиров на судне, управления операциями судна и заботы о людях на уровне эксплуатации с непосредственным контролем за выполнением всех функций в пределах обозначенной области ответственности инструкторов по обучению вахтенных офицеров.
Подготовка рассчитана на инструкторов морских образовательных организаций, имеющих или имевших опыт практического судовождения, а также: 
•	диплом капитана; 
•	дополнительное профессиональное образование по программе «Инструктор тренажёрной подготовки, экзаменатор» (типовая программа ИМО 6.10)
Категория обучаемых - учебно-преподавательский состав тренажёрных центров, осуществляющих подготовку специалистов морского и речного транспорта, имеющие сертификат Инструктора установленного Росморречфлотом образца. Опыт работы в должности инструкторов по обучению вахтенных офицеров не менее трех лет, 12 месяцев из которых за последние 5 лет.
Внимание! При зачислении кандидатов на обучение принимаются во внимание рекомендации по квалификационным требованиям, предъявляемым к персоналу УТЦ, содержащиеся в Приложении 13 Рекомендаций по организации деятельности учебно-тренажерных центров и их освидетельствованию, утвержденных Росморречфлотом в 2016 г..</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40</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5 календарных</w:t>
      </w:r>
      <w:r w:rsidRPr="00B11397">
        <w:rPr>
          <w:spacing w:val="-2"/>
        </w:rPr>
        <w:t xml:space="preserve"> </w:t>
      </w:r>
      <w:r w:rsidRPr="00B11397">
        <w:t>дней для очной формы обучения и 10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эксплуатировать компьютерное оборудование и периферийные устройства УТК РУТ в соответствии с Руководством по эксплуатации при проведении подготовки судоводителей в области эксплуатации полуавтономных судов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процедуру и порядок включения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выключения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техники безопасности при работе на тренажере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 конфигурацию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инструктажа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управления ходом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оценки методом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подведения итогов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анализа и разбора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отображения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конфигурацию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процессы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работы со вспомогательной графической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использования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тренажёра ГМССБ в составе УТК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обучаемого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инструктора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обучаемого тренажёра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управления тренажером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проектированию программы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планированию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результатам обучения вахтенных офицеров в области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проектирования программ обучения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формирования учебного плана и программы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подготовки упражнений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вспомогательные инструменты РМИ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менеджмента качества в тренажёрной подготовке</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Принципы организации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Общие положения о необходимости автоматизации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необходимости автоматизации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Структура систем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систем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Взаимосвязь между различными блоками автоматизации навигационных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взаимосвязь между различными блоками автоматизации навигационных процессов.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Зоны действия и ответственности «человеческого элемента» в схеме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зоны действия и ответственности «человеческого элемента» в схеме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Роль и возможности тренажера в имитационном моделировании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Правила техники безопасности при работе на тренажере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техники безопасности при работе на тренажере.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Процедура и порядок включения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 порядок включения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Процедура и порядок выключения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 порядок выключения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выполнять включение/выключение УТК РУТ самостоятельно в соответствии с Руководством по эксплуатации.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Структура и конфигурация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и конфигурацию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Функции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Состав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Возможности отображения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отображения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Функции рабочего места обучаемого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рабочего места обучаемого.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Конфигурация рабочего места обучаемого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конфигурацию рабочего места обучаемого.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Возможности управления тренажером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управления тренажером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Функциональные возможности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Требования к составу оборудования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составу оборудования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Функциональные возможности тренажёра ГМССБ в составе УТК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тренажёра ГМССБ в составе УТК.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Состав рабочего места инструктора тренажёра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инструктора тренажёра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Состав рабочего места обучаемого тренажёра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обучаемого тренажёра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Функциональные возможности рабочего места инструктора тренажёра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рабочего места инструктора тренажёра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Функциональные возможности рабочего места обучаемого тренажёра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рабочего места обучаемого тренажёра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Организация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2.19 Оборудование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2.20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2.21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2.22 Функции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2.23 Процессы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процессы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2.24 Технология работы со вспомогательной графической информацией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работы со вспомогательной графической информацией.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2.25 Процесс использования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использования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Разработка концепции программы обучения на тренажере. Дизайн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Алгоритм проектирования программ обучения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проектирования программ обучения.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Структура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Особенности формирования учебного плана и программы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формирования учебного плана и программы 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Подходы к проектированию программы тренажерной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проектированию программы тренажерной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Требования к результатам обучения вахтенных офицеров в области эксплуатации полуавтономных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результатам обучения вахтенных офицеров в области эксплуатации полуавтономных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Система менеджмента качества в тренажёрной подготовке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менеджмента качества в тренажёрной подготовке.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Разработка и проведение имитационных упражнений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Подходы к планированию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планированию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Принципы подготовки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Порядок проведения инструктажа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инструктажа.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Порядок выполнения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выполнения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Порядок подведения итогов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подведения итогов.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Пример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Функции и интерфейс РМИ  для подготовки упражнений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подготовки упражнений.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Функции и интерфейс РМИ для управления ходом выполнения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управления ходом выполнения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Вспомогательные инструменты РМИ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вспомогательные инструменты РМИ.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Специфика оценочных мероприятий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Подходы к оцениванию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оцениванию.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Особенности оценки методом моделирования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оценки методом моделирования.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Функции и интерфейс РМИ для анализа и разбора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анализа и разбора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проводить оценку и анализ корректности выполнения имитационных упражнений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900" w:type="dxa"/>
        <w:gridCol w:w="900" w:type="dxa"/>
        <w:gridCol w:w="900" w:type="dxa"/>
        <w:gridCol w:w="900" w:type="dxa"/>
        <w:gridCol w:w="900" w:type="dxa"/>
        <w:gridCol w:w="900" w:type="dxa"/>
        <w:gridCol w:w="900" w:type="dxa"/>
        <w:gridCol w:w="900" w:type="dxa"/>
        <w:gridCol w:w="90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Принципы организации МАНС</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Роль и возможности тренажера в имитационном моделировании</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28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Разработка концепции программы обучения на тренажере. Дизайн курса</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Разработка и проведение имитационных упражнений</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13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Специфика оценочных мероприятий</w:t>
            </w:r>
          </w:p>
        </w:tc>
        <w:tc>
          <w:tcPr>
            <w:tcW w:w="900" w:type="dxa"/>
          </w:tcPr>
          <w:p/>
        </w:tc>
        <w:tc>
          <w:tcPr>
            <w:tcW w:w="900" w:type="dxa"/>
          </w:tcP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6.5</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w:t>
            </w:r>
          </w:p>
        </w:tc>
        <w:tc>
          <w:tcPr>
            <w:tcW w:w="900" w:type="dxa"/>
          </w:tcPr>
          <w:p/>
        </w:tc>
        <w:tc>
          <w:tcPr>
            <w:tcW w:w="900" w:type="dxa"/>
          </w:tcPr>
          <w:p/>
        </w:tc>
        <w:tc>
          <w:tcPr>
            <w:tcW w:w="900" w:type="dxa"/>
          </w:tcP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6</w:t>
            </w:r>
          </w:p>
        </w:tc>
        <w:tc>
          <w:tcPr/>
          <w:p>
            <w:pPr>
              <w:jc w:val="center"/>
              <w:spacing w:after="0"/>
            </w:pPr>
            <w:r>
              <w:rPr>
                <w:rFonts w:ascii="Times New Roman" w:hAnsi="Times New Roman" w:eastAsia="Times New Roman" w:cs="Times New Roman"/>
                <w:color w:val="000000"/>
                <w:sz w:val="24"/>
                <w:szCs w:val="24"/>
                <w:b w:val="1"/>
                <w:bCs w:val="1"/>
              </w:rPr>
              <w:t xml:space="preserve">62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2250" w:type="dxa"/>
        <w:gridCol w:w="2250" w:type="dxa"/>
        <w:gridCol w:w="2250" w:type="dxa"/>
        <w:gridCol w:w="2250" w:type="dxa"/>
        <w:gridCol w:w="22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2"/>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Принципы организации МАНС</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Роль и возможности тренажера в имитационном моделировании</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12</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28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Разработка концепции программы обучения на тренажере. Дизайн курса</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Разработка и проведение имитационных упражнений</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13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Специфика оценочных мероприятий</w:t>
            </w:r>
          </w:p>
        </w:tc>
        <w:tc>
          <w:tcPr>
            <w:tcW w:w="2250" w:type="dxa"/>
          </w:tcP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8.5</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w:t>
            </w:r>
          </w:p>
        </w:tc>
        <w:tc>
          <w:tcPr>
            <w:tcW w:w="2250" w:type="dxa"/>
          </w:tcP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22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22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22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2250" w:type="dxa"/>
          </w:tcPr>
          <w:p>
            <w:pPr>
              <w:jc w:val="center"/>
              <w:spacing w:after="0"/>
            </w:pPr>
            <w:r>
              <w:rPr>
                <w:rFonts w:ascii="Times New Roman" w:hAnsi="Times New Roman" w:eastAsia="Times New Roman" w:cs="Times New Roman"/>
                <w:color w:val="000000"/>
                <w:sz w:val="24"/>
                <w:szCs w:val="24"/>
                <w:b w:val="1"/>
                <w:bCs w:val="1"/>
              </w:rPr>
              <w:t xml:space="preserve">2</w:t>
            </w:r>
          </w:p>
        </w:tc>
        <w:tc>
          <w:tcPr/>
          <w:p>
            <w:pPr>
              <w:jc w:val="center"/>
              <w:spacing w:after="0"/>
            </w:pPr>
            <w:r>
              <w:rPr>
                <w:rFonts w:ascii="Times New Roman" w:hAnsi="Times New Roman" w:eastAsia="Times New Roman" w:cs="Times New Roman"/>
                <w:color w:val="000000"/>
                <w:sz w:val="24"/>
                <w:szCs w:val="24"/>
                <w:b w:val="1"/>
                <w:bCs w:val="1"/>
              </w:rPr>
              <w:t xml:space="preserve">62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Принципы организации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о необходимости автоматизации судовождения. Структура систем управления судном. Взаимосвязь между различными блоками автоматизации навигационных процессов. Зоны действия и ответственности «человеческого элемента» в схеме управления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Роль и возможности тренажера в имитационном моделировании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техники безопасности при работе на тренажере. Процедура и порядок включения тренажера. Процедура и порядок выключения тренажера. Структура и конфигурация тренажера. Функции рабочего места инструктора. Состав рабочего места инструктора. Возможности отображения рабочего места инструктора. Функции рабочего места обучаемого. Конфигурация рабочего места обучаемого. Возможности управления тренажером ГМССБ. Функциональные возможности ГМССБ. Требования к составу оборудования ГМССБ. Функциональные возможности тренажёра ГМССБ в составе УТК. Состав рабочего места инструктора тренажёра ГМССБ. Состав рабочего места обучаемого тренажёра ГМССБ. Функциональные возможности рабочего места инструктора тренажёра ГМССБ. Функциональные возможности рабочего места обучаемого тренажёра ГМССБ. Организация взаимодействия с СУДС. Оборудование СУДС.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Функции СППР. Процессы принятия решений. Технология работы со вспомогательной графической информацией. Процесс использования СППР.</w:t>
      </w:r>
    </w:p>
    <w:p w14:paraId="04EC11D3" w14:textId="0CC831D6" w:rsidR="007A5D53" w:rsidRPr="00DF73A3" w:rsidRDefault="007A5D53" w:rsidP="00DF73A3">
      <w:pPr>
        <w:pStyle w:val="3"/>
        <w:keepNext/>
        <w:widowControl/>
        <w:ind w:left="0" w:firstLine="709"/>
      </w:pPr>
      <w:r w:rsidRPr="00B11397">
        <w:t>Разработка концепции программы обучения на тренажере. Дизайн курса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Алгоритм проектирования программ обучения. Структура курса. Особенности формирования учебного плана и программы курса. Подходы к проектированию программы тренажерной подготовки. Требования к результатам обучения вахтенных офицеров в области эксплуатации полуавтономных судов. Система менеджмента качества в тренажёрной подготовке.</w:t>
      </w:r>
    </w:p>
    <w:p w14:paraId="04EC11D3" w14:textId="0CC831D6" w:rsidR="007A5D53" w:rsidRPr="00DF73A3" w:rsidRDefault="007A5D53" w:rsidP="00DF73A3">
      <w:pPr>
        <w:pStyle w:val="3"/>
        <w:keepNext/>
        <w:widowControl/>
        <w:ind w:left="0" w:firstLine="709"/>
      </w:pPr>
      <w:r w:rsidRPr="00B11397">
        <w:t>Разработка и проведение имитационных упражнений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Подходы к планированию имитационного упражнения. Принципы подготовки имитационного упражнения. Порядок проведения инструктажа. Порядок выполнения упражнения. Порядок подведения итогов. Пример имитационного упражнения. Функции и интерфейс РМИ  для подготовки упражнений. Функции и интерфейс РМИ для управления ходом выполнения упражнения. Вспомогательные инструменты РМИ.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w:t>
      </w:r>
    </w:p>
    <w:p w14:paraId="04EC11D3" w14:textId="0CC831D6" w:rsidR="007A5D53" w:rsidRPr="00DF73A3" w:rsidRDefault="007A5D53" w:rsidP="00DF73A3">
      <w:pPr>
        <w:pStyle w:val="3"/>
        <w:keepNext/>
        <w:widowControl/>
        <w:ind w:left="0" w:firstLine="709"/>
      </w:pPr>
      <w:r w:rsidRPr="00B11397">
        <w:t>Специфика оценочных мероприятий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Подходы к оцениванию. Особенности оценки методом моделирования. Функции и интерфейс РМИ для анализа и разбора упражнения.</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in</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Одобренного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10 июля 2023 г. №294-ФЗ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Постановление Правительства Российской Федерации от 3 июля 1997 г. № 813  «О создании и функционировании Глобальной морской системы связи при бедствии и для обеспечения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Модельный курс 6.09 «Training course for instructors» : International Maritime Organization // https://imo.im/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Модельный курс 6.10 «Train the Simulator Trainer and Assessor» : International Maritime Organization  // https://imo.im/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MSC.1/Circ.1638 3 June 2021 «Outcome of the regulatory scoping exercise for the use of Maritime Autonomous Surface Ships (MASS)»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IALA Maritime Radio Communications Plan, Tech. Rep., December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МСЭ/ITU. ITU-R M. 2092–0. Технические характеристики для системы обмена данными в ОВЧ-диапазоне в полосе ОВЧ морской подвижной службы</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Guideline G1117. VHF Data Exchange System (VDES) overview. Ed. 2. IALA,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Международная конвенция о подготовке и дипломировании моряков и несении вахты (ПДНВ/STCW) (с изменениями и дополнениями), Лондон, 07.07.1978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IALA Recommendation V-119 Рекомендации по внедрению служб движения судов Международной Ассоциации Маячных Служб</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IALA Guidelines on VTS Operating Procedures Руководство по эксплуатационным процедурам СУДС Международной Ас-ассоциации маячных служб</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3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Повышение квалификации инструкторов по обучению вахтенных офицеров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456">
    <w:multiLevelType w:val="hybridMultilevel"/>
    <w:lvl w:ilvl="0" w:tplc="37201092">
      <w:start w:val="1"/>
      <w:numFmt w:val="decimal"/>
      <w:lvlText w:val="%1."/>
      <w:lvlJc w:val="left"/>
      <w:pPr>
        <w:ind w:left="720" w:hanging="360"/>
      </w:pPr>
    </w:lvl>
    <w:lvl w:ilvl="1" w:tplc="37201092" w:tentative="1">
      <w:start w:val="1"/>
      <w:numFmt w:val="lowerLetter"/>
      <w:lvlText w:val="%2."/>
      <w:lvlJc w:val="left"/>
      <w:pPr>
        <w:ind w:left="1440" w:hanging="360"/>
      </w:pPr>
    </w:lvl>
    <w:lvl w:ilvl="2" w:tplc="37201092" w:tentative="1">
      <w:start w:val="1"/>
      <w:numFmt w:val="lowerRoman"/>
      <w:lvlText w:val="%3."/>
      <w:lvlJc w:val="right"/>
      <w:pPr>
        <w:ind w:left="2160" w:hanging="180"/>
      </w:pPr>
    </w:lvl>
    <w:lvl w:ilvl="3" w:tplc="37201092" w:tentative="1">
      <w:start w:val="1"/>
      <w:numFmt w:val="decimal"/>
      <w:lvlText w:val="%4."/>
      <w:lvlJc w:val="left"/>
      <w:pPr>
        <w:ind w:left="2880" w:hanging="360"/>
      </w:pPr>
    </w:lvl>
    <w:lvl w:ilvl="4" w:tplc="37201092" w:tentative="1">
      <w:start w:val="1"/>
      <w:numFmt w:val="lowerLetter"/>
      <w:lvlText w:val="%5."/>
      <w:lvlJc w:val="left"/>
      <w:pPr>
        <w:ind w:left="3600" w:hanging="360"/>
      </w:pPr>
    </w:lvl>
    <w:lvl w:ilvl="5" w:tplc="37201092" w:tentative="1">
      <w:start w:val="1"/>
      <w:numFmt w:val="lowerRoman"/>
      <w:lvlText w:val="%6."/>
      <w:lvlJc w:val="right"/>
      <w:pPr>
        <w:ind w:left="4320" w:hanging="180"/>
      </w:pPr>
    </w:lvl>
    <w:lvl w:ilvl="6" w:tplc="37201092" w:tentative="1">
      <w:start w:val="1"/>
      <w:numFmt w:val="decimal"/>
      <w:lvlText w:val="%7."/>
      <w:lvlJc w:val="left"/>
      <w:pPr>
        <w:ind w:left="5040" w:hanging="360"/>
      </w:pPr>
    </w:lvl>
    <w:lvl w:ilvl="7" w:tplc="37201092" w:tentative="1">
      <w:start w:val="1"/>
      <w:numFmt w:val="lowerLetter"/>
      <w:lvlText w:val="%8."/>
      <w:lvlJc w:val="left"/>
      <w:pPr>
        <w:ind w:left="5760" w:hanging="360"/>
      </w:pPr>
    </w:lvl>
    <w:lvl w:ilvl="8" w:tplc="37201092" w:tentative="1">
      <w:start w:val="1"/>
      <w:numFmt w:val="lowerRoman"/>
      <w:lvlText w:val="%9."/>
      <w:lvlJc w:val="right"/>
      <w:pPr>
        <w:ind w:left="6480" w:hanging="180"/>
      </w:pPr>
    </w:lvl>
  </w:abstractNum>
  <w:abstractNum w:abstractNumId="29455">
    <w:multiLevelType w:val="hybridMultilevel"/>
    <w:lvl w:ilvl="0" w:tplc="306067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9455">
    <w:abstractNumId w:val="29455"/>
  </w:num>
  <w:num w:numId="29456">
    <w:abstractNumId w:val="2945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537011651" Type="http://schemas.openxmlformats.org/officeDocument/2006/relationships/comments" Target="comments.xml"/><Relationship Id="rId871215155"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