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Повышение квалификации капитана в области эксплуатации полуавтономных судов</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Повышение квалификации капитана в области эксплуатации полуавтономных судов</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«Повышение квалификации капитана в области эксплуатации полуавтономных судов» (далее - Программа) направлена на подготовку капитанов для эксплуатации полуавтономных судов, т.е. судов, способных осуществлять плавание без постоянного контроля за судовыми машинами, механизмами и приборами со стороны экипажа судна (без несения ходовой вахты), а также без постоянного управления движением судна силами экипажа, который ведет общее наблюдение за судном и в случае необходимости осуществляет управление судном, принимает меры по восстановлению нормальной работы судовых машин, механизмов и приборов. 
Актуальность программы обусловлена тем, что суда, способные осуществлять плавание без постоянного управления движением судна силами экипажа, необходимы бизнесу, ведь по морю проходит около 90% коммерческих транспортных потоков. В большинстве случаев речь идет о полуавтономных судах, для эксплуатации которых не требуется значительной реконструкции имеющихся технических средств портовых систем управления движением судов. При этом экипаж полуавтономного судна может состоять из ограниченного числа специалистов, функции которых отличаются от функций, исполняемых членами экипажа неавтономного судна.  
Программа повышения квалификации разработана с учетом последних изменений нормативно-правовой базы и имеет целью формирование компетенций в области идентификации состояния судна, контроля движения и управления судном в полуавтономном режиме, а также осуществления мероприятий по готовности к киберинцидентам и реагированию на них при эксплуатации полуавтономного судна.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Аристова Дарья Александровна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Семина Ирина Викторовна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Федорова Ольга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Алексеев Виктор Валерьевич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Соколова Ирина Ивановна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Руководство разработкой ЭУМК, 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Макеева Елена Захаровна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Гринчар Николай Николаевич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Андрей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Леонова Анна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Костюлин Иван Алексеевич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Боков Константин Андреевич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Рудницкая Анастасия Витальевна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Егоров Сергей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Шационок Павел Васильевич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Миронова Екатерина Николаевна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 нормоконтроль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Коккозова Зарема Мавлимбердиевна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Ваняшина Любовь Артемовна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Анатолий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528816642"/>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Повышение квалификации капитана в области эксплуатации полуавтономных судов</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proofErr w:type="spellStart"/>
      <w:r w:rsidRPr="00B11397">
        <w:rPr>
          <w:spacing w:val="-1"/>
          <w:sz w:val="28"/>
          <w:szCs w:val="22"/>
          <w:lang w:eastAsia="en-US"/>
        </w:rPr>
        <w:t>Минобрнауки</w:t>
      </w:r>
      <w:proofErr w:type="spellEnd"/>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17.096 Судоводитель, утв. приказом Минтруда России №745н от 29.11.2019.</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6-й уровень квалификации, включающий управление обеспечением безопасности плавания судна, безопасной перевозки грузов и пассажиров, определение задач собственной работы и/или подчиненных по достижению цели и ответственность за результат выполнения работ на уровне подразделения или судна.
Категория слушателей:
Судоводители, имеющие диплом капитана морского судна валовой вместимостью от 500 до 3000 – уровень управления (пункт 3 Правила II/2 Конвенции ПДНВ) или капитан морского судна валовой вместимостью 3000 и более – уровень управления (пункт 1 Правила II/2 Конвенции ПДНВ).
Опыт работы в соответствующей должности капитана не менее трех лет, 12 месяцев из которых за последние 5 лет.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bookmarkStart w:id="14" w:name="_GoBack"/>
      <w:bookmarkEnd w:id="14"/>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116</w:t>
      </w:r>
      <w:r w:rsidRPr="00B11397">
        <w:t xml:space="preserve"> </w:t>
      </w:r>
      <w:proofErr w:type="spellStart"/>
      <w:r w:rsidR="00A57E74" w:rsidRPr="00B11397">
        <w:t>ак</w:t>
      </w:r>
      <w:proofErr w:type="spellEnd"/>
      <w:r w:rsidR="00A57E74" w:rsidRPr="00B11397">
        <w:t>. 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4D52754C" w:rsidR="000E0E30" w:rsidRPr="00B11397" w:rsidRDefault="000E0E30" w:rsidP="00E17C2B">
      <w:pPr>
        <w:pStyle w:val="TEXT"/>
      </w:pPr>
      <w:r w:rsidRPr="00B11397">
        <w:t>Срок освоения составляет 15 календарных</w:t>
      </w:r>
      <w:r w:rsidRPr="00B11397">
        <w:rPr>
          <w:spacing w:val="-2"/>
        </w:rPr>
        <w:t xml:space="preserve"> </w:t>
      </w:r>
      <w:r w:rsidRPr="00B11397">
        <w:t>дней для очной формы обучения и 29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повышение профессионального уровня в рамках имеющейся у обучающегося квалификации.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осуществление мероприятий по готовности к киберинцидентам и реагированию на них  при эксплуатации полуавтономного судна в рамках утвержденного регламента в соответствии с требованиями МППСС, КТМ РФ и иных руководящих документов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основные документы по кибербезопасности в морской отрасли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виды киберугроз</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базовые принципы обеспечения информационной защиты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политику по кибербезопасности компании, системы управления безопасностью и планы охраны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 кибербезопасности судна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осуществления плана кибербезопасности судна и передачи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повышению осведомленности о кибербезопасности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уязвимые судовые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 оценки рисков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признаки компрометации навигационных данных</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обеспечивать управление судном в полуавтономном режиме в рамках утвержденного регламента в соответствии с требованиями МППСС, КТМ РФ и иных руководящих документов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задачи прогнозирования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подсистемы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предъявляемые к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модульную декомпозицию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актуальные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автоматизированные системы 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искусственных нейронных сетей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примеры применения нейронных сетей для решения задач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задачи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 работы системы автоматического управления судна на траектории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возвращения судна на первоначальный путь и коррекции 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сбора и автоматизированной обработки навигационной информации по различным каналам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оптимизации передачи данных, включая видеоизображение в условиях ограниченной пропускной способности канала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понятия о конкордации, средства минимизации конкордационных рисков при удалённом управлении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ограничения передаваемой информации по сравнению с имеющейся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обеспечения надлежащего уровня конкордации решений по управлению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теоретические особенности передачи информации в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интегрированной навигационной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нормативно-правовые акты, регламентирующие деятельность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средства обеспечения навигационной безопасности судоходства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переключения режимов управления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сбора, обобщения и анализа сведений по районам перехода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исходных данных для наиболее сложных в навигационном отношении участков перехода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системы идентификации состояния судна в удалённом режиме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многофункциональный дисплей и элементы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ситуационной осведомленности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сигналы тревоги и индикаторы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автоматического распознавания навигационных опасностей оптическими системами, в том числе на дальних дистанциях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стандарты автоматического обмена данными между судовыми и береговыми системами а-Навигации и е-Навигации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оптическую систему анализа окружающей обстановки и состояния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автоматического управления INS(C)</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управлять рулевой машиной и рулем судна без риска повреждения во время маневров при различных условиях плавания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планировать и выполнять рейс как с лоцманом, так и без него, в обычных и чрезвычайных ситуациях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управлять судном с интегрированной  системой мостика при ведении автоматизированных процедур записей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обеспечивать плавание и маневрирование судна в зоне СУДС с соблюдением правил МППСС-72 в различных условиях плавания</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r>
              <w:rPr>
                <w:rFonts w:ascii="Times New Roman" w:hAnsi="Times New Roman" w:eastAsia="Times New Roman" w:cs="Times New Roman"/>
                <w:color w:val="000000"/>
                <w:sz w:val="24"/>
                <w:szCs w:val="24"/>
                <w:b w:val="0"/>
                <w:bCs w:val="0"/>
              </w:rPr>
              <w:t xml:space="preserve">.</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0"/>
                <w:bCs w:val="0"/>
              </w:rPr>
              <w:t xml:space="preserve">Все компетенции, перечисленные выше</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изменения в международных морских конвенциях и рекомендациях в области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нормативно-правового регулирования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необходимости автоматизации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международную и национальную классификацию морских автономных надводных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систем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взаимосвязь между различными блоками автоматизации навигационных процессов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зоны действия и ответственности "человеческого элемента" в схеме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 xml:space="preserve">Виды занятий, в </w:t>
            </w:r>
            <w:proofErr w:type="spellStart"/>
            <w:r w:rsidRPr="00B11397">
              <w:rPr>
                <w:rFonts w:ascii="Times New Roman" w:hAnsi="Times New Roman"/>
                <w:b/>
                <w:sz w:val="24"/>
                <w:szCs w:val="24"/>
                <w:lang w:val="ru-RU"/>
              </w:rPr>
              <w:t>т.ч</w:t>
            </w:r>
            <w:proofErr w:type="spellEnd"/>
            <w:r w:rsidRPr="00B11397">
              <w:rPr>
                <w:rFonts w:ascii="Times New Roman" w:hAnsi="Times New Roman"/>
                <w:b/>
                <w:sz w:val="24"/>
                <w:szCs w:val="24"/>
                <w:lang w:val="ru-RU"/>
              </w:rPr>
              <w:t>.</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Нормативные аспекты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Общие положения о необходимости автоматизации судовождения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о необходимости автоматизации судовождения.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Изменения в международных морских конвенциях и рекомендациях в области эксплуатации 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изменения в международных морских конвенциях и рекомендациях в области эксплуатации 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Система нормативно-правового регулирования эксплуатации 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нормативно-правового регулирования эксплуатации 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Правовые нормы и границы юридической ответственности бортового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правовые нормы и границы юридической ответственности бортового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Международная и национальную классификацию морских автономных надводных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международную и национальную классификацию морских автономных надводных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Принципы организации структуры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Структура систем управления судном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систем управления судном.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Взаимосвязь между различными блоками автоматизации навигационных процессов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взаимосвязь между различными блоками автоматизации навигационных процессов.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Зоны действия и ответственности «человеческого элемента» в схеме управления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зоны действия и ответственности «человеческого элемента» в схеме управления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Регламент взаимодействия судовладельца и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взаимодействия судовладельца и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Математические основы средств автономности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Возможности искусственных нейронных сетей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возможности искусственных нейронных сетей.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Примеры применения нейронных сетей для решения задач автономного судовождения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примеры применения нейронных сетей для решения задач автономного судовождения.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Основные задачи прогнозирования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задачи прогнозирования.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Основные задачи принятия решений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задачи принятия решений.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Подсистемы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подсистемы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рулевой машиной и рулем судна без риска повреждения во время маневров при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Требования, предъявляемые к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предъявляемые к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Модульная декомпозицию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модульную декомпозицию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Актуальные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актуальные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рулевой машиной и рулем судна без риска повреждения во время маневров при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Принцип работы системы автоматического управления судна на траектории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 работы системы автоматического управления судна на траектории.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Задачи возвращения судна на первоначальный путь и коррекции 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задачи возвращения судна на первоначальный путь и коррекции курса.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Автоматизированные системы 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автоматизированные системы 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рулевой машиной и рулем судна без риска повреждения во время маневров при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Технические средства судовождения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судном с интегрированной  системой мостика при ведении автоматизированных процедур записей.</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Системы идентификации состояния судна в удалённом режиме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системы идентификации состояния судна в удалённом режиме.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Многофункциональный дисплей и элементы управления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многофункциональный дисплей и элементы управления.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Понятие ситуационной осведомленности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ситуационной осведомленности.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Сигналы тревоги и индикаторы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сигналы тревоги и индикаторы.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Цель интегрированной навигационной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цель интегрированной навигационной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Общие понятия о конкордации, средства минимизации конкордационных рисков при удалённом управлении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понятия о конкордации, средства минимизации конкордационных рисков при удалённом управлении.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Методика обеспечения надлежащего уровня конкордации решений по управлению судном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методику обеспечения надлежащего уровня конкордации решений по управлению судном.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 Ограничения передаваемой информации по сравнению с имеющейся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ограничения передаваемой информации по сравнению с имеющейся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Информационные потоки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Теоретические особенности передачи информации в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теоретические особенности передачи информации в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Процедуры сбора и автоматизированной обработки навигационной информации по различным каналам связи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сбора и автоматизированной обработки навигационной информации по различным каналам связи.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Технологии оптимизации передачи данных, включая видеоизображение в условиях ограниченной пропускной способности канала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технологии оптимизации передачи данных, включая видеоизображение в условиях ограниченной пропускной способности канала.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Функции автоматического управления INS(C)</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автоматического управления INS(C).</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5.5 Стандарты автоматического обмена данными между судовыми и береговыми системами а-Навигации и е-Навигации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стандарты автоматического обмена данными между судовыми и береговыми системами а-Навигации и е-Навигации.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5.6 Принципы автоматического распознавания навигационных опасностей оптическими системами, в том числе на дальних дистанциях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автоматического распознавания навигационных опасностей оптическими системами, в том числе на дальних дистанциях.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5.7 Оптическая систему анализа окружающей обстановки и состояния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оптическую систему анализа окружающей обстановки и состояния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Кибербезопасность</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Базовые принципы обеспечения информационной защиты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базовые принципы обеспечения информационной защиты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6.2 Основные документы по кибербезопасности в морской отрасли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документы по кибербезопасности в морской отрасли.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6.3 Основные виды киберугроз</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виды киберугроз.</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6.4 Уязвимые судовые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уязвимые судовые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6.5 Требования к повышению осведомленности о кибербезопасности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повышению осведомленности о кибербезопасности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6.6 Процесс оценки рисков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процесс оценки рисков.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6.7 Признаки компрометации навигационных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признаки компрометации навигационных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6.8 Политика по кибербезопасности компании, системы управления безопасностью и планы охраны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политику по кибербезопасности компании, системы управления безопасностью и планы охраны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6.9 План кибербезопасности судна и процедуры судоходной компании по управлению рисками информационной защиты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план кибербезопасности судна и процедуры судоходной компании по управлению рисками информационной защиты.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6.10 Процедуры осуществления плана кибербезопасности судна и передачи сообщений об инцидентах, связанных с кибербезопасностью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осуществления плана кибербезопасности судна и передачи сообщений об инцидентах, связанных с кибербезопасностью.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выявлять киберугрозы и реагировать на них в соответствии с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Управление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7.1 Принципы сбора, обобщения и анализа сведений по районам перехода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сбора, обобщения и анализа сведений по районам перехода.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7.2 Принципы подготовки исходных данных для наиболее сложных в навигационном отношении участков перехода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подготовки исходных данных для наиболее сложных в навигационном отношении участков перехода.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7.3 Регламент переключения режимов управления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переключения режимов управления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планировать и выполнять рейс как с лоцманом, так и без него, в обычных и чрезвычайных ситуациях.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7.4 Нормативно-правовые акты, регламентирующие деятельность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нормативно-правовые акты, регламентирующие деятельность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7.5 Организация взаимодействия с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организацию взаимодействия с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7.6 Оборудование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оборудование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7.7 Средства обеспечения навигационной безопасности судоходства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средства обеспечения навигационной безопасности судоходства.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7.8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обеспечивать плавание и маневрирование судна в зоне СУДС с соблюдением правил МППСС-72 в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7.9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обеспечивать плавание и маневрирование судна в зоне СУДС с соблюдением правил МППСС-72 в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116</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80</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30</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300" w:type="dxa"/>
        <w:gridCol w:w="300" w:type="dxa"/>
        <w:gridCol w:w="300" w:type="dxa"/>
        <w:gridCol w:w="300" w:type="dxa"/>
        <w:gridCol w:w="300" w:type="dxa"/>
        <w:gridCol w:w="300" w:type="dxa"/>
        <w:gridCol w:w="300" w:type="dxa"/>
        <w:gridCol w:w="300" w:type="dxa"/>
        <w:gridCol w:w="300" w:type="dxa"/>
        <w:gridCol w:w="300" w:type="dxa"/>
        <w:gridCol w:w="300" w:type="dxa"/>
        <w:gridCol w:w="300" w:type="dxa"/>
        <w:gridCol w:w="300" w:type="dxa"/>
        <w:gridCol w:w="300" w:type="dxa"/>
        <w:gridCol w:w="3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15"/>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Д10</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Д11</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Д12</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Д13</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Д15</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Нормативные аспекты МАНС</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Принципы организации структуры МАНС</w:t>
            </w: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Математические основы средств автономности судна</w:t>
            </w: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29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Технические средства судовождения МАНС</w:t>
            </w: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5</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Информационные потоки МАНС</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Кибербезопасность</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12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Управление МАНС</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18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116</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2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Д5</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Д6</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Д7</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Д8</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Д9</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Д10</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Д11</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Д15</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Д16</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Д17</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Д18</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Д19</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Д20</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Д21</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Д25</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Д26</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Д27</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Д28</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Нормативные аспекты МАНС</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Принципы организации структуры МАНС</w:t>
            </w: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Математические основы средств автономности судна</w:t>
            </w: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29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Технические средства судовождения МАНС</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Информационные потоки МАНС</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Кибербезопасность</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12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Управление МАНС</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18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116</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Нормативные аспекты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положения о необходимости автоматизации судовождения. Изменения в международных морских конвенциях и рекомендациях в области эксплуатации автономных судов. Система нормативно-правового регулирования эксплуатации автономных судов. Правовые нормы и границы юридической ответственности бортового экипажа полуавтономного судна. Международная и национальную классификацию морских автономных надводных судов.</w:t>
      </w:r>
    </w:p>
    <w:p w14:paraId="04EC11D3" w14:textId="0CC831D6" w:rsidR="007A5D53" w:rsidRPr="00DF73A3" w:rsidRDefault="007A5D53" w:rsidP="00DF73A3">
      <w:pPr>
        <w:pStyle w:val="3"/>
        <w:keepNext/>
        <w:widowControl/>
        <w:ind w:left="0" w:firstLine="709"/>
      </w:pPr>
      <w:r w:rsidRPr="00B11397">
        <w:t>Принципы организации структуры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Структура систем управления судном. Взаимосвязь между различными блоками автоматизации навигационных процессов. Зоны действия и ответственности «человеческого элемента» в схеме управления МАНС. Регламент взаимодействия судовладельца и экипажа полуавтономного судна.</w:t>
      </w:r>
    </w:p>
    <w:p w14:paraId="04EC11D3" w14:textId="0CC831D6" w:rsidR="007A5D53" w:rsidRPr="00DF73A3" w:rsidRDefault="007A5D53" w:rsidP="00DF73A3">
      <w:pPr>
        <w:pStyle w:val="3"/>
        <w:keepNext/>
        <w:widowControl/>
        <w:ind w:left="0" w:firstLine="709"/>
      </w:pPr>
      <w:r w:rsidRPr="00B11397">
        <w:t>Математические основы средств автономности судна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Математические основы оптимизационных процессов управления, связанные с обеспечением навигационной безопасности судна, в том числе кибербезопасности. Возможности искусственных нейронных сетей. Примеры применения нейронных сетей для решения задач автономного судовождения. Основные задачи прогнозирования. Основные задачи принятия решений. Подсистемы СППР. Требования, предъявляемые к СППР. Модульная декомпозицию СППР. Актуальные СППР. Принцип работы системы автоматического управления судна на траектории. Задачи возвращения судна на первоначальный путь и коррекции курса. Автоматизированные системы автономного судна.</w:t>
      </w:r>
    </w:p>
    <w:p w14:paraId="04EC11D3" w14:textId="0CC831D6" w:rsidR="007A5D53" w:rsidRPr="00DF73A3" w:rsidRDefault="007A5D53" w:rsidP="00DF73A3">
      <w:pPr>
        <w:pStyle w:val="3"/>
        <w:keepNext/>
        <w:widowControl/>
        <w:ind w:left="0" w:firstLine="709"/>
      </w:pPr>
      <w:r w:rsidRPr="00B11397">
        <w:t>Технические средства судовождения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 Системы идентификации состояния судна в удалённом режиме. Многофункциональный дисплей и элементы управления. Понятие ситуационной осведомленности. Сигналы тревоги и индикаторы. Цель интегрированной навигационной системы. Общие понятия о конкордации, средства минимизации конкордационных рисков при удалённом управлении. Методика обеспечения надлежащего уровня конкордации решений по управлению судном. Ограничения передаваемой информации по сравнению с имеющейся на судне.</w:t>
      </w:r>
    </w:p>
    <w:p w14:paraId="04EC11D3" w14:textId="0CC831D6" w:rsidR="007A5D53" w:rsidRPr="00DF73A3" w:rsidRDefault="007A5D53" w:rsidP="00DF73A3">
      <w:pPr>
        <w:pStyle w:val="3"/>
        <w:keepNext/>
        <w:widowControl/>
        <w:ind w:left="0" w:firstLine="709"/>
      </w:pPr>
      <w:r w:rsidRPr="00B11397">
        <w:t>Информационные потоки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Теоретические особенности передачи информации в МАНС. Процедуры сбора и автоматизированной обработки навигационной информации по различным каналам связи. Технологии оптимизации передачи данных, включая видеоизображение в условиях ограниченной пропускной способности канала. Функции автоматического управления INS(C). Стандарты автоматического обмена данными между судовыми и береговыми системами а-Навигации и е-Навигации. Принципы автоматического распознавания навигационных опасностей оптическими системами, в том числе на дальних дистанциях. Оптическая систему анализа окружающей обстановки и состояния судна.</w:t>
      </w:r>
    </w:p>
    <w:p w14:paraId="04EC11D3" w14:textId="0CC831D6" w:rsidR="007A5D53" w:rsidRPr="00DF73A3" w:rsidRDefault="007A5D53" w:rsidP="00DF73A3">
      <w:pPr>
        <w:pStyle w:val="3"/>
        <w:keepNext/>
        <w:widowControl/>
        <w:ind w:left="0" w:firstLine="709"/>
      </w:pPr>
      <w:r w:rsidRPr="00B11397">
        <w:t>Кибербезопасность</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Базовые принципы обеспечения информационной защиты судна. Основные документы по кибербезопасности в морской отрасли. Основные виды киберугроз. Уязвимые судовые системы. Требования к повышению осведомленности о кибербезопасности на судне. Процесс оценки рисков. Признаки компрометации навигационных данных. Политика по кибербезопасности компании, системы управления безопасностью и планы охраны судов. План кибербезопасности судна и процедуры судоходной компании по управлению рисками информационной защиты. Процедуры осуществления плана кибербезопасности судна и передачи сообщений об инцидентах, связанных с кибербезопасностью.</w:t>
      </w:r>
    </w:p>
    <w:p w14:paraId="04EC11D3" w14:textId="0CC831D6" w:rsidR="007A5D53" w:rsidRPr="00DF73A3" w:rsidRDefault="007A5D53" w:rsidP="00DF73A3">
      <w:pPr>
        <w:pStyle w:val="3"/>
        <w:keepNext/>
        <w:widowControl/>
        <w:ind w:left="0" w:firstLine="709"/>
      </w:pPr>
      <w:r w:rsidRPr="00B11397">
        <w:t>Управление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Принципы сбора, обобщения и анализа сведений по районам перехода. Принципы подготовки исходных данных для наиболее сложных в навигационном отношении участков перехода. Регламент переключения режимов управления на судне. Нормативно-правовые акты, регламентирующие деятельность СУДС. Организация взаимодействия с СУДС. Оборудование СУДС. Средства обеспечения навигационной безопасности судоходства.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компетенций, подлежащих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Одобренного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Одобренного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proofErr w:type="gramStart"/>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proofErr w:type="gramEnd"/>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Федеральный закон от 31 июля 1998 г. №155-ФЗ  «О внутренних морских водах, территориальном море и прилежащей зоне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Федеральный закон от 8 ноября 2007 г.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Резолюция ИМО MSC-FAL.1/Circ.3 «Руководство по управлению киберрисками в морской отрасли»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Резолюция А.884(21) «Поправки к Кодексу по расследованию морских аварий и инцидентов»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"Кодекс торгового мореплавания Российской Федерации» от 30.04.1999 N 81-ФЗ (ред. от 28.06.2022)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Резолюция Международной морской организации (IMO) А.857(20) «Руководство по службам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Резолюция IMO MSC.43(64) «Руководство и критерии для систем судовых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Резолюция IMO А.851(20) «Общие принципы систем судовых сообщений и требования к судовым сообщениям»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«Руководство по службам движения судов» Международной Ассоциации маячных служб (IALA VTS Manual)</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«Рекомендации по внедрению служб движения судов» Международной Ассоциации Маячных Служб (IALA Recommendation V-119)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КТДЛ.01074-01 34 01 РО версия 2.0-2 Программный комплекс «Автономная навигационная система», Руководство оператора,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IALA Maritime Radio Communications Plan, Tech. Rep., December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2.23 802.16 IEEE Standard for Local and metropolitan area networks. Part 16: Air Interface for Fixed Broadband Wireless Access Systems // IEEE Computer Society and the IEEE</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Конвенция о Международных правилах предупреждения столкновений судов в море (МППСС-72), Лондон, 20.10.1972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2.25 Navi-Planner 4000 User Manual Version: 2.00.344Transas MIPLtd.</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2.26 Unmanned Marine Systems Code // Lloyd’s Register – London,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2.27 Autonomous and remotely operated ships // DNV,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2.28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2.29 Резолюция Международной морской организации № А.1047(27) от 11.11.2011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2.30 International Maritime Organization (2014): Development of an e-navigation strategy implementation plan/Overview of the Maritime Cloud concept Sub-committee on navigation, communications and search and rescue// NCSR 1/INF.X</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2.31 International Maritime Organization (2009): strategy for the development and implementation of e-navigation, MSC 85/26/Add.1, Annex 20, pp.1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2.32 Международная конвенция по охране человеческой жизни на море (СОЛАС-74), Лондон, 01.11.1974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2.33 Международный кодекс по управлению безопасностью (МКУБ) и руководства по его выполнению. Изд-во: ЦНИИМФ, Санкт-Петербург, 2014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2.34 Resolution МSС.64(67). Adoption of new and amended performance standards/ Резолюция MSC.64(67) / Принятие новых Эксплуатационных требований и поправок к существующим Эксплуатационным требованиям. London: International maritime organization, 1996</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2.35 Resolution MSC.86(70)/ Adoption of new and amended performance standards for navigational equipment/ Резолюция MSC.86(70). Принятие новых эксплуатационных требований и поправок к существующим эксплуатационным требованиям, London: International maritime organization, 1998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2.36 Resolution A.953(23). World-wide radionavigation system / Резолюция A.953(23). Всемирная радионавигационная система. London: International maritime organization, 2003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2.37 Resolution A.1021(26). Сode on alerts and indicators/ Резолюция A.1021(26). Кодекс по извещателям и индикаторам. London: International maritime organization, 2009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2.38 MSC/Circ.1061. Guidance for the operational use of integrated bridge systems (IBS)/ Циркулярное письмо MSC.Circ.1061.Руководство по эксплуатации интегрированных систем ходового мостика (ИСМ) London: International maritime organization, 2003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2.39 SN.1/Circ.265 Guidelines on the Application of SOLAS Regulation V/15 to INS, IBS and Bridge Design/ Циркулярное письмо SN.1/Circ.265/Rev.1 Руководство по применению правила V/15 конвенции СОЛАС к интегрированной навигационной системе (ИНС), интегрированной системе ходового мостика (ИСМ) и конструкции мостика. London: International maritime organization, 2007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2.40 Наставление по организации штурманской службы на судах 2022 год. Последняя редакция. Изд-во: МОРКНИГА,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2.41 Bridge Procedure Guide, Fifth Edition / Руководство по процедурам на мостике, 5-е издание. London: International Chamber Of Shipping, 2016</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2.42 Model course 1.32. Operational use of integrated bridge systems including integrated navigation systems /Типовой курс 1.32. Эксплуатационное использование интегрированных систем мостика, включая интегрированные навигационные системы. London: International maritime organization, 2005</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2.43 Resolution А.916(22) Guidelines for the recording of events related to navigation/ Резолюция А.916(22). Руководство по регистрации событий, связанных с судовождением. London: International maritime organization, 2001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2.44 Resolution А.893(21). Guidelines for voyage planning / Резолюция ИМО А.893(21) «Руководство по планированию рейса» от 25.11.1999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2.45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2.46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2.47 Астреин В.В., Боран-Кешишьян А.Л. Безопасность судовождения: учебное пособие. — Новороссийск : РИО ГМУ им. адм. Ф.Ф. Ушакова, 2021. — 144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2.48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2.49 Вагущенко Л.Л., Цымбал Н.Н. Системы автоматического управления движением судна: учебник. — Москва : ТрансЛит, 2007. — 376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2.50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2.51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2.52 Коваленко В.В. Проектирование информационных систем: учебное пособие для вузов. — Москва : ФОРУМ, 2012. — 319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2.53 Григорьева Д.Р., Гареева Г.А., Басыров Р.Р. Основы нечеткой логики: Учебно-методическое пособие к практическим занятиям и лабораторным работам. — Набережные Челны : НЧИ КФУ, 2018. — 42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2.54 Дмитриев С.П., Пелевин А.Е. Задачи навигации и управления при стабилизации судна на траектории. — СПб. : ГНЦ РФ ЦНИИ «Электроприбор», 2002. — 160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2.55 Хайкин С. Нейронные сети: полный курс, 2-е издание. : пер с англ.. — Москва : Издательский дом «Вильямс», 2006. — 1104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2.56 Мамедли Р.Э. Системы управления базами данных: Учебное пособие. — Нижневартовск : Изд-во Нижневартовского государственного университета, 2021. — 214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2.57 Хеннан, Э. Многомерные временные ряды. — Москва : Мир, 1974. — 575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2.58 Норенков И.П. Основы автоматизированного проектирования: учеб. для вузов. — Москва : Изд-во МГТУ им. Н. Э. Баумана, 2009. — 430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2.59 Вагущенко Л.Л., Вагущенко А.Л. Поддержка решений по расхождению с судами. — Одесса : Феникс, 2010. — 296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2.60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2.61 Stefania Sesia, Issam Toufik, Matthew Baker LTE – The UMTS Long Term Evolution. From Theory to Practice. — Chichester, West Sussex : John Wiley &amp; Sons Ltd, 2009. — 611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2.62 Тихвинский В.О., Терентьев С.В., Юрчук А.Б. Сети мобильной связи LTE: технологии и архитектура. — Москва : ЭкоТрендз, 2010. — 284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2.63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2.64 Дмитриев В.И. Пути повышения безопасности судоходства. Учебное пособие. — Москва : ИКЦ «Академкнига», 2005. — 374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2.65 Дмитриев В.И., Григорян В.Л., Катенин В.А. Навигация и лоция. Учебник для вузов. — Москва : ИКЦ «Академкнига», 2015. — 224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2.66 Дерябин В.В. Автоматизация судовождения. Учебное пособие. — Санкт- Петербург : Лань, 2020. — 156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2.67 Анучин О.Н., Емельянцев Г.И. Интегрированные системы ориентации и навигации для морских подвижных объектов. — Санкт- Петербург : Электроприбор, 2003. — 357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2.68 Найденов Е. В., Дмитриев В. И. Безопасное расхождение судов в море. — Москва : МОРКНИГА, 2021. — 264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2.69 Мотрич В.Н. Столкновения судов и их предупреждение. Новый взгляд. — Санкт- Петербург : БХВ, 2017. — 352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2.70 Емельянцев Г.И., Степанов А.П. Интегрированные инерциально-спутниковые системы ориентации и навигации. — Санкт- Петербург : Электроприбор, 2016. — 111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2.71 Официальный сайт ФАУ «Российский морской регистр судоходства» : https://rs-class.org</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2.72 Официальный сайт АО «Ситроникс КТ» : https://sitronics-kt.ru/</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8 практических заданий</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Повышение квалификации капитана в области эксплуатации полуавтономных судов</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0370" w14:textId="77777777" w:rsidR="008A767C" w:rsidRDefault="008A767C">
      <w:r>
        <w:separator/>
      </w:r>
    </w:p>
  </w:endnote>
  <w:endnote w:type="continuationSeparator" w:id="0">
    <w:p w14:paraId="0C1511E6" w14:textId="77777777" w:rsidR="008A767C" w:rsidRDefault="008A767C">
      <w:r>
        <w:continuationSeparator/>
      </w:r>
    </w:p>
  </w:endnote>
  <w:endnote w:type="continuationNotice" w:id="1">
    <w:p w14:paraId="380E1586" w14:textId="77777777" w:rsidR="008A767C" w:rsidRDefault="008A7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AE749F">
          <w:rPr>
            <w:noProof/>
            <w:sz w:val="24"/>
            <w:szCs w:val="22"/>
          </w:rPr>
          <w:t>6</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0E366" w14:textId="77777777" w:rsidR="008A767C" w:rsidRDefault="008A767C">
      <w:r>
        <w:separator/>
      </w:r>
    </w:p>
  </w:footnote>
  <w:footnote w:type="continuationSeparator" w:id="0">
    <w:p w14:paraId="7946A119" w14:textId="77777777" w:rsidR="008A767C" w:rsidRDefault="008A767C">
      <w:r>
        <w:continuationSeparator/>
      </w:r>
    </w:p>
  </w:footnote>
  <w:footnote w:type="continuationNotice" w:id="1">
    <w:p w14:paraId="695148D5" w14:textId="77777777" w:rsidR="008A767C" w:rsidRDefault="008A76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255">
    <w:multiLevelType w:val="hybridMultilevel"/>
    <w:lvl w:ilvl="0" w:tplc="54558823">
      <w:start w:val="1"/>
      <w:numFmt w:val="decimal"/>
      <w:lvlText w:val="%1."/>
      <w:lvlJc w:val="left"/>
      <w:pPr>
        <w:ind w:left="720" w:hanging="360"/>
      </w:pPr>
    </w:lvl>
    <w:lvl w:ilvl="1" w:tplc="54558823" w:tentative="1">
      <w:start w:val="1"/>
      <w:numFmt w:val="lowerLetter"/>
      <w:lvlText w:val="%2."/>
      <w:lvlJc w:val="left"/>
      <w:pPr>
        <w:ind w:left="1440" w:hanging="360"/>
      </w:pPr>
    </w:lvl>
    <w:lvl w:ilvl="2" w:tplc="54558823" w:tentative="1">
      <w:start w:val="1"/>
      <w:numFmt w:val="lowerRoman"/>
      <w:lvlText w:val="%3."/>
      <w:lvlJc w:val="right"/>
      <w:pPr>
        <w:ind w:left="2160" w:hanging="180"/>
      </w:pPr>
    </w:lvl>
    <w:lvl w:ilvl="3" w:tplc="54558823" w:tentative="1">
      <w:start w:val="1"/>
      <w:numFmt w:val="decimal"/>
      <w:lvlText w:val="%4."/>
      <w:lvlJc w:val="left"/>
      <w:pPr>
        <w:ind w:left="2880" w:hanging="360"/>
      </w:pPr>
    </w:lvl>
    <w:lvl w:ilvl="4" w:tplc="54558823" w:tentative="1">
      <w:start w:val="1"/>
      <w:numFmt w:val="lowerLetter"/>
      <w:lvlText w:val="%5."/>
      <w:lvlJc w:val="left"/>
      <w:pPr>
        <w:ind w:left="3600" w:hanging="360"/>
      </w:pPr>
    </w:lvl>
    <w:lvl w:ilvl="5" w:tplc="54558823" w:tentative="1">
      <w:start w:val="1"/>
      <w:numFmt w:val="lowerRoman"/>
      <w:lvlText w:val="%6."/>
      <w:lvlJc w:val="right"/>
      <w:pPr>
        <w:ind w:left="4320" w:hanging="180"/>
      </w:pPr>
    </w:lvl>
    <w:lvl w:ilvl="6" w:tplc="54558823" w:tentative="1">
      <w:start w:val="1"/>
      <w:numFmt w:val="decimal"/>
      <w:lvlText w:val="%7."/>
      <w:lvlJc w:val="left"/>
      <w:pPr>
        <w:ind w:left="5040" w:hanging="360"/>
      </w:pPr>
    </w:lvl>
    <w:lvl w:ilvl="7" w:tplc="54558823" w:tentative="1">
      <w:start w:val="1"/>
      <w:numFmt w:val="lowerLetter"/>
      <w:lvlText w:val="%8."/>
      <w:lvlJc w:val="left"/>
      <w:pPr>
        <w:ind w:left="5760" w:hanging="360"/>
      </w:pPr>
    </w:lvl>
    <w:lvl w:ilvl="8" w:tplc="54558823" w:tentative="1">
      <w:start w:val="1"/>
      <w:numFmt w:val="lowerRoman"/>
      <w:lvlText w:val="%9."/>
      <w:lvlJc w:val="right"/>
      <w:pPr>
        <w:ind w:left="6480" w:hanging="180"/>
      </w:pPr>
    </w:lvl>
  </w:abstractNum>
  <w:abstractNum w:abstractNumId="17254">
    <w:multiLevelType w:val="hybridMultilevel"/>
    <w:lvl w:ilvl="0" w:tplc="6902223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7254">
    <w:abstractNumId w:val="17254"/>
  </w:num>
  <w:num w:numId="17255">
    <w:abstractNumId w:val="1725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33777"/>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676049429" Type="http://schemas.openxmlformats.org/officeDocument/2006/relationships/comments" Target="comments.xml"/><Relationship Id="rId47278846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57FE-0E36-4FB5-B69E-A7471B8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11895</TotalTime>
  <Pages>10</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25</cp:revision>
  <cp:lastPrinted>2023-02-01T07:12:00Z</cp:lastPrinted>
  <dcterms:created xsi:type="dcterms:W3CDTF">2023-02-18T16:52:00Z</dcterms:created>
  <dcterms:modified xsi:type="dcterms:W3CDTF">2023-04-27T08:57:00Z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