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операторов СУДС в области организации движения и взаимодействия с полуавтономными и автономными судами в зоне действия СУДС»</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62116990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9 февраля 2007 г. №16-ФЗ  «О транспортной безопасности»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Международная конвенция по охране человеческой жизни на море : 1974 года (СОЛАС-74), редакция, действующая с 01 января 2020 г. // https://docs.cntd.ru/document/901765675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R0103 (V-103) TRAINING AND CERTIFICATION OF VTS PERSONNEL : VTS, 10.12.2020 // https://www.iala-aism.org/product/r0103/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КОНВЕНЦИЯ о Международных правилах предупреждения столкновений судов в море 1972 года с поправками : с изменениями на 29 ноября 2001 года // https://docs.cntd.ru/document/1901005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IALA Guideline G1141 Operational Procedures for Delivering VTS Edition 2.1 : 31.01.2022 // https://www.iala-aism.org/product/g1141/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IALA Vessel Traffic Services Manual, 2021, Edition 8 : 10.06.2021 // https://www.iala-aism.org/product/iala-vts-manual-2021/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IALA Guideline G1130 Technical Aspects of Information Exchange Between VTS and Allied or Other Services Edition 1.1 : 31.01.2022 // https://www.iala-aism.org/product/g1130/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IALA G1089 Provision of a Vessel Traffic Service. : декабрь 2021 // https://www.iala-aism.org/content/uploads/2021/02/G1089-Provision-of-a-VTS-Issue-pending-adoption-IMO-Resolution-.pdf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IALA Guideline G1167 VTS Management Edition 1 : 31.01.2022 // https://www.iala-aism.org/product/g1167/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НД 2-030101-037 Положения по классификации морских автономных и дистанционно управляемых надводных судов (МАНС) // Российский морской регистр судоходства –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IMO А.572(14) - Общие положения об установлении путей движения судов, с поправками.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А.671(16) - Зоны безопасности районах прибрежных сооружений и установок.</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IMO А.918(22) - Стандартные фразы ИМО для связи на море. Резолюция А.851(20) - Общие принципы систем судовых сообщений и требований к судовым сообщениям, включая руководство по сообщениям об инцидентах с опасными грузами, вредными веществами и/или поллютантами.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IMO А.705(17) - Распространение информации по безопасности на море</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MX800 Инструкция по эксплуатации. Базовая станция, ретранслятор, приемник и передатчик. ООО «Радио Комплекс», 2016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Правила радиосвязи морской подвижной службы и морской подвижной спутниковой службы РФ. РД 31.64.54-2001 с Доп. (РД 31.06.09-2003, РД 31.06.10-2003) 2022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Руководство по работе с ПАК рабочего места оператора СУДС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SCANTER 2001 Transceiver Мanual 262001 HT// Terma A/S Radar Systems Division Lystrup, Denmark</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Типовые эксплуатационные процедуры службы управления движением судов// ФГУП «Росморпорт», Москва 2015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под редакцией В. Н. Гуцуляка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 Москва :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Вагущенко Л.Л., Стафеев А.М. Судовые автоматизированные системы навигации. — Москва : Транспорт, 1989. — 157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Л. Л. Вагущенко, Н. Н. Цымбал Системы автоматического управления движением судна . — Одесса : Феникс, 2007. — 328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Официальный сайт ФАУ «Российский морской регистр судоходства»  : https://rs- class.org</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организовывать движение и взаимодействие с судами, в том числе полуавтономными и автономными, в зоне действия СУДС в соответствии с утвержденными нормативными документами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поддержания навигационной безопасности в обслуживаемом районе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оперативного управления предоставлением услуг СУДС и координации движения судов в зоне действия СУДС, включая операции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обеспечения коммуникабельности и процедуры взаимодействия с МАНС в повседневных, нештатных и аварийных ситуациях при нахождении МАНС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и особенности взаимодействия с судовым персоналом МАНС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мониторинг судоходной обстановки, оказание помощи в судовождении и организации движения  с использованием оборудования СУДС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ведение базы данных СУДС, регистрацию событий  в рабочем журнале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сбор, оценку и распространение информации СУДС, а также взаимодействие с судами (в том числе, с полуавтономными и автономными) для оказания информационных услуг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эксплуатировать оборудование СУДС в соответствии с утвержденными нормативными документами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методы поддержания работоспособности и организации оперативного контроля работы систем сбора, анализа и распространения информации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оборудованию обеспечения ситуационной осведомленности. Состав и функциональные возможности средств радиосвязи и обмена данными МАНС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оперативную оценку судоходной и навигационной обстановки, получать наиболее полную информацию о местоположении судов, в том числе МАНС, в зоне действия СУДС. при помощи технических средств СУДС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реагировать на чрезвычайные ситуации с полуавтономными и автономными судами в соответствии с утвержденными нормативными документами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оперативного реагирования на нештатные и аварийные ситуации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применения внутренних и внешних процедур</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оперативно реагировать на аварийные ситуации,  формировать материалы по аварийным случаям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содержание и последние изменения в соответствующих международных морских конвенциях и рекомендациях, а также в национальном законодательстве в области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применимые правовые нормы и правила при осуществлении услуг СУДС в отношении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специфику эксплуатации МАНС в общем судопотоке</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поддержания навигационной безопасности в обслуживаемом районе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оперативного управления предоставлением услуг СУДС и координации движения судов в зоне действия СУДС, включая операции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и особенности взаимодействия с судовым персоналом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обеспечения коммуникабельности и процедуры взаимодействия с МАНС в повседневных, нештатных и аварийных ситуациях при нахождении МАНС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поддержания работоспособности и организации оперативного контроля работы систем сбора, анализа и распространения информации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оборудованию обеспечения ситуационной осведомленности. Состав и функциональные возможности средств радиосвязи и обмена данными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оперативного реагирования на нештатные и аварийные ситуации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применения внутренних и внешних процедур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36, 37, 38, 39, 40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и последние изменения в соответствующих международных морских конвенциях и рекомендациях, а также в национальном законодательстве в области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применимые правовые нормы и правила при осуществлении услуг СУДС в отношении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специфику эксплуатации МАНС в общем судопотоке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56, 57, 58, 59, 60</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60</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0</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0</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0</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мониторинг судоходной обстановки, оказание помощи в судовождении и организации движения  с использованием оборудования СУДС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ведение базы данных СУДС, регистрацию событий  в рабочем журнале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сбор, оценку и распространение информации СУДС, а также взаимодействие с судами (в том числе, с полуавтономными и автономными) для оказания информационных услуг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оперативную оценку судоходной и навигационной обстановки, получать наиболее полную информацию о местоположении судов, в том числе МАНС, в зоне действия СУДС. при помощи технических средств СУДС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оперативно реагировать на аварийные ситуации,  формировать материалы по аварийным случаям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2</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ПАК «Рабочее место оператора СУДС»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щт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Объектами инфраструктуры морского транспорта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Порты, которые расположены на внутренних водных путях и в которых осуществляются посадка (высадка) пассажиров и (или) перевалка грузов повышенной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Порты, расположенные во внутренних морских водах, в территориальном море, исключительной экономической зоне и на континентальном шельфе Российской Федерации искусственные острова, установки,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Морские терминалы, акватории морских портов;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перечисленные варианты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ССОО предназначается для: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ССОО предназначается для скрытного оповещения о нападении компетентных властей на берегу, назначенных Правительством;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ССОО предназначается для оповещения о нападении экипажа судна при помощи звуковой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ССОО предназначается для оповещения о нападении компании-судовладельца;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ССОО предназначается для оповещения о нападении судов, находящихся на расстоянии менее 30 м.миль.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Какое из утверждений верно?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ССОО может быть выполнена как посредством установки специально предназначенного для этих целей оборудования, так и посредством использования установленной на судне ГМССБ;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ССОО может быть выполнена только посредством установки специально предназначенного для этих целей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ССОО может быть выполнена только посредством использования установленной на судне ГМССБ;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утверждения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Какое из утверждений верно?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ССОО может быть выполнена как посредством установки специально предназначенного для этих целей оборудования, так и посредством использования установленной на судне ГМССБ;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ССОО может быть выполнена только посредством установки специально предназначенного для этих целей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ССОО может быть выполнена только посредством использования установленной на судне ГМССБ;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Задачами обеспечения транспортной безопасности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Нормативное правовое регулирование в области обеспечения транспортной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угроз совершения актов незаконного вмешательства;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за техническим состоянием объектов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уязвимости объектов транспортной инфраструктуры 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функционирования персонала, обеспечивающего эксплуатацию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ЦДУ и оператор СУДС совместно.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Условия и методы использования МАНС, а также основные конструктивные решения, позволяющие обеспечить выполнение требований Регистра Судоходства, определяются на этапе построения судна.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Данные о функционировании МАНС включают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Технические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Журнал осмотров;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ЦДУ и оператор СУДС совместно;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Никто.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Что из перечисленного не относится к минимальному набору бортового оборудования МАНС, обеспечивающего его работу при отсутствии людей на борту?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оценки оперативной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за состоянием СЭУ, корпусом, управления движением, якорными и швартовными устройствами;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Средства приёма судовой корреспонденции;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Средства ручного пожаротушения.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Локальная сеть должна быть реализована с возможностью функционирования при любом единичном отказе, при этом, из сети на время устранения отказа должно исключаться неисправное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Локальная сеть должна быть реализована с возможностью функционирования при любом единичном отказе, при этом, неисправное оборудование из сети на время устранения отказа исключать не 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Локальная сеть должна быть реализована с возможностью функционирования при любом единичном отказе, при этом, из сети на время устранения отказа неисправное оборудование не должно исключаться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Локальная сеть должна быть реализована с возможностью функционирования при любом единичном отказе, при этом, из сети на время устранения отказа должно исключаться неисправное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Локальная сеть должна быть реализована с возможностью функционирования при любом единичном отказе, при этом, неисправное оборудование из сети на время устранения отказа исключать не 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Локальная сеть должна быть реализована с возможностью функционирования при любом единичном отказе, при этом, из сети на время устранения отказа неисправное оборудование не должно исключаться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утверждения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Выберите возможные способы управления расхождением судов/МАНС: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Классический, или прямой директивный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Неклассический, или индивидуализированный способ управления посредством взаимодействий между группой судов в однородной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Правильного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Процедуры взаимодействия СУДС/ЦДУ должны обеспечивать безопасность, в первую очередь, для: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Передачи и хранения данных (кибербезопасность);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Персонала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Здания и сооружения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 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Инфраструктуры 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Основными документами, регламентирующими взаимодействия СУДС с судами, и в частности МАНС,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IALA «Guideline G1141 Operational Procedures for Delivering VTS» («Руководство МАМС G1141 по эксплуатационным процедурам») (Edition 2.1, January 2022);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ИМО А.1156(32) от 15.12.2021 г. «Руководство по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Международные правила предупреждения столкновения судов в море, 1972 г., с поправками (COLREG-72);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НД 2-030101-037 Положения по классификации морских автономных и дистанционно управляемых надводных судов (МАНС).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Кто устанавливает критерии, определяющие операционную эффективность, такие как пределы безопасности, осуществляет мониторинг зоны СУДС в соответствии с этими критериями и использует эти критерии при расследовании инцидентов?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Поставщик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IMO;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В случае отказов системы обеспечения ситуационной осведомленности МАНС, приводящих к нарушению способности восприятия обстановки во время навигации, системой управления навигацией необходимо выполнить: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Переход в состояние минимального риска;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Переход в режим прямого управление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Полное отключение систем автоматической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В случае отказов системы обеспечения ситуационной осведомленности МАНС, приводящих к нарушению способности восприятия обстановки во время навигации, системой управления навигацией необходимо выполнить: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Переход в состояние минимального риска;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Переход в режим прямого управление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Переход в состояние максимального риска.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Отметьте на схеме область, соответствующую устройству отображения и управления КОВ-С</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282.82950423216px">
            <v:imagedata r:id="rId15" o:title=""/>
          </v:shape>
        </w:pict>
        <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Определите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Основное требование к системам автономных и дистанционно управляемых судов — надежность, безопасность и степень автоматизации не хуже судна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функционировании МАНС должны собираться, анализироваться, документироваться и, по требованию, представляться Регистру по согласованию с владельцем и оператором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утверждения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Каким образом должен выполняться контроль состояния и режимов работы оборудования РТП, а также управление режимами работы РТП?</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Удалённо, из центра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Вручную, с выездом инженерной бригады к РТП;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период нормального функционирования РТП, круглосуточный контроль за состоянием его технических средств обеспечивать не 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Вручную или удаленно в соответствии с принятым решением оператора СУДС.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Укажите требуемый минимальный процент вероятности безотказной работы СУДС, обеспечиваемый резервированием оборудования и другими мерами (для СУДС высшей категории):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99.95%;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99.85%;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98.9999%;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Рабочие зоны определяются для каждого вида основных технических средств СУДС посредством натурных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Рабочие зоны определяются для каждого вида основных технических средств СУДС исходя из технических характеристик, заявленных производителем;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Рабочие зоны определяются для каждого вида основных технических средств СУДС исходя из соответствия требованиям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Рабочие зоны определяются для каждого вида основных технических средств СУДС исходя из личного опыта оператора СУДС.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При каких условиях на участке акватории допускается наличие теневых зон РЛС?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Участок полностью перекрыт рабочими зонами радиотелефонной связи 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участке не оказывается помощь в судовождении;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Участок находится в зоне якорной стоянки;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Участок находится на фарватере;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Участок частично является зоной разворота судов.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Укажите ОСНОВНЫЕ технические средства, обеспечивающие получение, обработку, отображение и регистрацию информации о судоходной и навигационной обстановке: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Береговые радиолокационные станции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автоматической информационной (идентификационной) системы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радиотелефонной связи с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обработки, отображения и регистрации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Средства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Радиопеленгаторы;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Метеорологические и гидрологические приборы.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Разрешающая способность на расстоянии до 5 миль для РЛС СУДС высшей категории, согласно требованиям, должна быть не более: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17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20-25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Количество сопровождаемых целей для каждой РЛС СУДС высшей категории должно быть не менее: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175.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Выберите основной документ, содержащий требования к оборудованию обеспечения ситуационной осведомленности 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по классификации морских автономных и дистанционно управляемых надводных судов (МАНС). НД № 2-030101-037. РМРС. 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IALA Guideline G1130 Technical Aspects of Information Exchange Between VTS and Allied or Other Services Edition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 Минтранса России от 23.07.2015 N 226 "Об утверждении Требований к радиолокационным системам управления движением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IALA Guideline G1118 – Marine Casualty / Incident Reporting and Recording, Including Near-miss Situations as it Relates to a VTS Edition 1.1.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Что из перечисленного ниже не относится к оборудованию обеспечения ситуационной осведомленности: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телевизионного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связи, радиотелефония, УБПЧ;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Метеорологическое и гидрологическое оборудование.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Что из перечисленного ниже не относится к оборудованию обеспечения ситуационной осведомленности: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телевизионного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связи, радиотелефония, УБПЧ;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выше перечисленные.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Зона действия СУДС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Акватория в пределах порта, пролива или иных объектов судоходства, ограниченная зоной района плавания А1;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Акватория в пределах порта, пролива или иных объектов судоходства, ограниченная зоной района плавания А2;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Акватория с официально объявленными границами, в пределах которой обеспечивается функционирование технических средств радиосвязи береговых объектов ГМССБ;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Акватория с официально объявленными границами, в пределах которой СУДС выполняет свои функции и обладает определенными правами и ответственностью и для которого поставщик СУДС уполномочен предоставлять услуги по управлению движением судов.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Система управления движением судов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зданий (сооружений), технических средств, нормативно-правовых документов, персонала и организационных мер, созданная в целях повышения безопасности мореплавания и эффективности судоходства в прилегающей к порту акватории, охраны жизни на море, а также в целях защиты морской среды, побережья, прилегающей береговой зоны, производственных участков и прибрежных морских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зданий (сооружений), технических средств, нормативно-правовых документов, персонала и организационных мер, созданная в целях контроля навигационной обстановки в прилегающей к порту акватории, охраны жизни на море, а также в целях защиты морской среды, побережья, прилегающей береговой зоны, производственных участков и прибрежных морских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зданий (сооружений), технических средств, организационных мер, созданная в целях повышения безопасности мореплавания и эффективности судоходства в прилегающей к порту акватории, охраны жизни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Перечислите функции СУДС, направленные на поддержание навигационной безопасности в обслуживаемом районе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 движения судов и управление 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Предоставление своевременной и релевантной навигационной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Реагирование на развитие небезопасных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функционирования лоцманской службы;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операций по поиску и спасению в зоне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технического состояния судового навигационного оборудования.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Что из перечисленного ниже является чрезвычайной ситуацией?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Авария/Катастрофа;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Аномальные природные явления;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Задержка отхода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Сложные навигационные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Разлив нефтепродуктов;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Факт угона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Факт повреждения судна, при стоянке у причала, не представляющего угрозы для окружающей среды.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Что из перечисленного ниже не является чрезвычайной ситуацией?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Авария/Катастрофа;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Аномальные природные явления;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Задержка отхода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Сложные навигационные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Разлив нефтепродуктов;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Факт угона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Факт повреждения судна, при стоянке у причала, не представляющего угрозы для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Все перечисленные ситуации являются чрезвычайными.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центра СУДС должна поддерживаться во время любого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Деятельность центра СУДС должна быть приостановлена на время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центра СУДС может быть частично ограничена на время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варианта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Согласно Классификационному сообществу "American Bureau of Shipping (ABS)” какая из приведённых характеристик соответствует уровню автономности "Smart"?</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выполняет заранее заложенные ситуационные операции исходя из внешней обстановки.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центра СУДС должна поддерживаться во время любого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Деятельность центра СУДС должна быть приостановлена на время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центра СУДС может быть частично ограничена на время реагирования на чрезвычайные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Возможны все перечисленные варианты.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Какие действия персонал СУДС должен выполнить при экстренной эвакуации?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Информировать смежные СУДС и соответствующие службы об эвакуации Центра СУДС, новом месте дислокации, средствах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Объявить об изменении в режиме работы СУДС на суда/МАНС и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Должен автоматически, в течении 3-5 минут, запускаться аварийный дизель-генератор (АДГ) соответствующего поста;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Проверить основные параметры, характеризующие работу резервного устройства, обращая особое внимание на качество радиолокационного изображения и автосопровождения целей.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Какая ситуация считается предаварийной?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судно/МАНС не ответило на трехкратный в течение одной минуты вызов оператора СУДС при изменении курса в сторону берега (опасных глубин);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судно/МАНС не ответило с первого раза на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судно/МАНС не ответило на трехкратный в течение часа вызов оператора СУДС при 	продолжении следования прежним курсом в случаях, когда для дальнейшего безопасного движения необходимо изменение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судно/МАНС не ответило на трехкратный в течение одной минуты вызов оператора СУДС при 	продолжении следования прежним курсом в случаях, когда для дальнейшего безопасного движения необходимо изменение курса.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Polar Code, Ballast Water Convention.</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Как расшифровывается аббревиатура "МАНС"?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Частично-автономное судно с поддержкой режима работы дистанционно..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Как расшифровывается аббревиатура "МАНС"?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Какие принципы лежат в основе отечественной технологии «БЭС-КФ»?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синтеза сложных технических систем.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Обсуждение проблем отсутствия смен экипажей вовремя, а также повышения оплаты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разработку технических требований к составу оборудования, взаимодействию элементов судовой автоматики и механизмов, а также требований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Адаптацию существующих требований, изложенных в основных МК и К, а также адаптацию их под национальную стратегию развития безэкипажного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направленные на переквалификация морского персонала в операторов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направленные на дооснащение судов оборудование дистанционного пилотирования..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Выберите верное утверждение согласно нормативно-правовым актам РФ: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Автономным судном является судно способное осуществлять плавание без экипажа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Автономным судном является судно, способное выполнять маневр расхождения с другим судном или группой судов.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Выберите верное утверждение согласно нормативно-правовым актам РФ: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Выберите верное утверждение согласно нормативно-правовым актам РФ: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Старшего помощника капитана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Указанные должности,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Указанные должности, при условии наличия плавательного ценза на аналогичных судах более 12 месяцев.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администрации.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5?</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 стороны человека. Принятие решений и действия осуществляются автономно с возможностью контроля человеком. Система принятия решений установлена таким образом, что позволяет человеку вмешаться и, в случае необходимости, взять контроль над ситуацией в свои руки;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Активный контроль со стороны человека. Принятие решений и действия осуществляются системами на борту или вне судна под контролем человека.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СУДС.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Дистанционное управление - режим управления судном, его системами и техническими средствами судна с места отличного от борта этого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Дистанционное управление - режим управления судном, его системами и техническими средствами судна с борта этого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Дистанционное управление - это способность реагировать на внешние воздействия, изменяя их с учетом хода управляемого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утверждения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выработки решений на основании дистанционных команд..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Существующая правовая система, регулирующая деятельность водного транспорта, способна обеспечить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Существующая правовая система, регулирующая деятельность водного транспорта, не способна обеспечить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Существующая правовая система, регулирующая деятельность водного транспорта, способна обеспечить частично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Существующая правовая система, регулирующая деятельность водного транспорта, способна обеспечить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Существующая правовая система, регулирующая деятельность водного транспорта, не способна обеспечить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Существующая правовая система, регулирующая деятельность водного транспорта, способна обеспечить частично безопасную эксплуатацию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за ненадлежащие условия работы на борту автономных судов.</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в,г,ж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мониторинг судоходной обстановки, оказание помощи в судовождении и организации движения  с использованием оборудования СУДС в соответствии с утвержденными нормативными документами; Уметь осуществлять ведение базы данных СУДС, регистрацию событий  в рабочем журнале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Отработка порядка ведения рабочего журнала оператором СУДС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Внутренние страницы рабочего журнала СУДС имеют следующую структуру:</w:t>
      </w:r>
    </w:p>
    <w:tbl>
      <w:tblPr>
        <w:tblStyle w:val="NormalTablePHPDOCX"/>
        <w:tblCellMar>
          <w:left w:type="dxa" w:w="0"/>
          <w:right w:type="dxa" w:w="0"/>
        </w:tblCellMar>
        <w:tblW w:w="0" w:type="auto"/>
        <w:tblInd w:w="0" w:type="auto"/>
        <w:tblBorders/>
      </w:tblPr>
      <w:tblGrid>
        <w:gridCol w:w="1845"/>
        <w:gridCol w:w="1695"/>
        <w:gridCol w:w="5805"/>
      </w:tblGrid>
      <w:tr>
        <w:trPr>
          <w:trHeight w:val="0" w:hRule="atLeast"/>
        </w:trPr>
        <w:tc>
          <w:tcPr>
            <w:tcW w:w="3540" w:type="dxa"/>
            <w:gridSpan w:val="2"/>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Время</w:t>
            </w:r>
          </w:p>
        </w:tc>
        <w:tc>
          <w:tcPr>
            <w:tcW w:w="5805" w:type="dxa"/>
            <w:vMerge w:val="restart"/>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События</w:t>
            </w:r>
          </w:p>
        </w:tc>
      </w:tr>
      <w:tr>
        <w:trPr>
          <w:trHeight w:val="0" w:hRule="atLeast"/>
        </w:trPr>
        <w:tc>
          <w:tcPr>
            <w:tcW w:w="18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Часы</w:t>
            </w:r>
          </w:p>
        </w:tc>
        <w:tc>
          <w:tcPr>
            <w:tcW w:w="169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Минуты</w:t>
            </w:r>
          </w:p>
        </w:tc>
        <w:tc>
          <w:tcPr>
            <w:gridSpan w:val="1"/>
            <w:vMerge w:val="continue"/>
          </w:tcPr>
          <w:p/>
        </w:tc>
      </w:tr>
      <w:tr>
        <w:trPr>
          <w:trHeight w:val="0" w:hRule="atLeast"/>
        </w:trPr>
        <w:tc>
          <w:tcPr>
            <w:tcW w:w="18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169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c>
          <w:tcPr>
            <w:tcW w:w="580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1. Отдельной строкой в графе «События» зафиксировать дату на начало очередных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2. В графы «Время» внести часы и минуты, относящиеся к событию, происшествию.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3. В графу «Событие» внести:</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прием и сдачу смены;</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замечания при приеме смены;</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случаи возникновения аварийных ситуаций;</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изменения состояния плавучих и стационарных СНО;</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распоряжения капитана порта, указания от ЦИГПК и МСКЦ, телефонограммы;</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получение прогнозов погоды и штормовых предупреждений;</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получение распоряжений о прекращении движения МАНС и закрытии части акватории;</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действия персонала смены в связи с событиями, занесенными в журнал.</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4. В конце смены подписать журнал у начальника смены.</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R0103 (V-103) TRAINING AND CERTIFICATION OF VTS PERSONNEL : VTS, 10.12.2020 // https://www.iala-aism.org/product/r0103/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КОНВЕНЦИЯ о Международных правилах предупреждения столкновений судов в море 1972 года с поправками : с изменениями на 29 ноября 2001 года // https://docs.cntd.ru/document/1901005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НД 2-030101-037 Положения по классификации морских автономных и дистанционно управляемых надводных судов (МАНС) // Российский морской регистр судоходства –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IMO А.572(14) - Общие положения об установлении путей движения судов, с поправками.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IMO А.671(16) - Зоны безопасности районах прибрежных сооружений и установок.</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 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ПАК «Рабочее место оператора СУДС»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щт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мониторинг судоходной обстановки, оказание помощи в судовождении и организации движения  с использованием оборудования СУДС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Отдельной строкой в графе «События» зафиксировать дату на начало очередных суток.
Шаг 2.	В графы «Время» внести часы и минуты, относящиеся к событию, происшествию.
Шаг 3.	В графу «Событие» внести прием и сдачу смены; замечания при приеме смены; случаи возникновения аварийных ситуаций; изменения состояния плавучих и стационарных СНО; распоряжения капитана порта, указания от ЦИГПК и МСКЦ, телефонограммы; получение прогнозов погоды и штормовых предупреждений; получение распоряжений о прекращении движения МАНС и закрытии части акватории; действия персонала смены в связи с событиями, занесенными в журнал.
Шаг 4.	В конце смены подписать журнал у начальника смены.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ведение базы данных СУДС, регистрацию событий  в рабочем журнале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Отдельной строкой в графе «События» зафиксировать дату на начало очередных суток.
Шаг 2.	В графы «Время» внести часы и минуты, относящиеся к событию, происшествию.
Шаг 3.	В графу «Событие» внести прием и сдачу смены; замечания при приеме смены; случаи возникновения аварийных ситуаций; изменения состояния плавучих и стационарных СНО; распоряжения капитана порта, указания от ЦИГПК и МСКЦ, телефонограммы; получение прогнозов погоды и штормовых предупреждений; получение распоряжений о прекращении движения МАНС и закрытии части акватории; действия персонала смены в связи с событиями, занесенными в журнал.
Шаг 4.	В конце смены подписать журнал у начальника смены.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Отдельной строкой в графе «События» зафиксировать дату на начало очередных суток.
Шаг 2.	В графы «Время» внести часы и минуты, относящиеся к событию, происшествию.
Шаг 3.	В графу «Событие» внести прием и сдачу смены; замечания при приеме смены; случаи возникновения аварийных ситуаций; изменения состояния плавучих и стационарных СНО; распоряжения капитана порта, указания от ЦИГПК и МСКЦ, телефонограммы; получение прогнозов погоды и штормовых предупреждений; получение распоряжений о прекращении движения МАНС и закрытии части акватории; действия персонала смены в связи с событиями, занесенными в журнал.
Шаг 4.	В конце смены подписать журнал у начальника смены.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Все действия выполнены верно, в графу «События внесены только события из перечня подлежащих фиксации иили события, зафиксированные по распоряжению начальника смены СУДС, журнал подписан начальником смены СУДС.</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Отдельной строкой в графе «События» зафиксировать дату на начало очередных суток.
Шаг 2.	В графы «Время» внести часы и минуты, относящиеся к событию, происшествию.
Шаг 3.	В графу «Событие» внести прием и сдачу смены; замечания при приеме смены; случаи возникновения аварийных ситуаций; изменения состояния плавучих и стационарных СНО; распоряжения капитана порта, указания от ЦИГПК и МСКЦ, телефонограммы; получение прогнозов погоды и штормовых предупреждений; получение распоряжений о прекращении движения МАНС и закрытии части акватории; действия персонала смены в связи с событиями, занесенными в журнал.
Шаг 4.	В конце смены подписать журнал у начальника смены.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Все действия выполнены верно, в графу «События внесены только события из перечня подлежащих фиксации иили события, зафиксированные по распоряжению начальника смены СУДС, журнал подписан начальником смены СУДС.</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оперативную оценку судоходной и навигационной обстановки, получать наиболее полную информацию о местоположении судов, в том числе МАНС, в зоне действия СУДС. при помощи технических средств СУДС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Работа с данными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1.</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типы принимаемых и отображаемых данных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2.</w:t>
      </w:r>
      <w:r>
        <w:rPr>
          <w:rFonts w:ascii="Times New Roman" w:hAnsi="Times New Roman" w:eastAsia="Times New Roman" w:cs="Times New Roman"/>
          <w:color w:val="000000"/>
          <w:sz w:val="28"/>
          <w:szCs w:val="28"/>
        </w:rPr>
        <w:t xml:space="preserve"> Используя меню «Приоритет сопровождения» ПАК рабочего места оператора СУДС по заданию инструктора произвести смену режима сопровождения («Радар» – цель сопровождается по данным радаров; «АИС» – цель сопровождается по данным АИС; «АИС + Радар» – интегрированная цель, сопровождается по данным радара и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3.</w:t>
      </w:r>
      <w:r>
        <w:rPr>
          <w:rFonts w:ascii="Times New Roman" w:hAnsi="Times New Roman" w:eastAsia="Times New Roman" w:cs="Times New Roman"/>
          <w:color w:val="000000"/>
          <w:sz w:val="28"/>
          <w:szCs w:val="28"/>
        </w:rPr>
        <w:t xml:space="preserve"> По заданию инструктора установить автоматическую смену режимов движения целей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3.1.</w:t>
      </w:r>
      <w:r>
        <w:rPr>
          <w:rFonts w:ascii="Times New Roman" w:hAnsi="Times New Roman" w:eastAsia="Times New Roman" w:cs="Times New Roman"/>
          <w:color w:val="000000"/>
          <w:sz w:val="28"/>
          <w:szCs w:val="28"/>
        </w:rPr>
        <w:t xml:space="preserve"> Выбрать пункт меню Сенсор®АИС.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3.2.</w:t>
      </w:r>
      <w:r>
        <w:rPr>
          <w:rFonts w:ascii="Times New Roman" w:hAnsi="Times New Roman" w:eastAsia="Times New Roman" w:cs="Times New Roman"/>
          <w:color w:val="000000"/>
          <w:sz w:val="28"/>
          <w:szCs w:val="28"/>
        </w:rPr>
        <w:t xml:space="preserve"> В открывшемся окне перейти на вкладку Дополнительно.</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3.3.</w:t>
      </w:r>
      <w:r>
        <w:rPr>
          <w:rFonts w:ascii="Times New Roman" w:hAnsi="Times New Roman" w:eastAsia="Times New Roman" w:cs="Times New Roman"/>
          <w:color w:val="000000"/>
          <w:sz w:val="28"/>
          <w:szCs w:val="28"/>
        </w:rPr>
        <w:t xml:space="preserve"> По заданию инструктора установить флажок:</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Автоматическое назначение в якорный режим (</w:t>
      </w:r>
      <w:r>
        <w:rPr>
          <w:rFonts w:ascii="Times New Roman" w:hAnsi="Times New Roman" w:eastAsia="Times New Roman" w:cs="Times New Roman"/>
          <w:color w:val="000000"/>
          <w:sz w:val="28"/>
          <w:szCs w:val="28"/>
        </w:rPr>
        <w:t xml:space="preserve">когда от судна приходит сообщение о смене навигационного статуса АИС на Anchored и скорость его при этом меньше 0,3 узлов, цель автоматически назначается в якорный режим);</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Автоматическое назначение в пришвартованный режим (</w:t>
      </w:r>
      <w:r>
        <w:rPr>
          <w:rFonts w:ascii="Times New Roman" w:hAnsi="Times New Roman" w:eastAsia="Times New Roman" w:cs="Times New Roman"/>
          <w:color w:val="000000"/>
          <w:sz w:val="28"/>
          <w:szCs w:val="28"/>
        </w:rPr>
        <w:t xml:space="preserve">когда от цели приходит сообщение о смене навигационного статуса АИС на Moored и скорость цели при этом меньше 0,3 узлов и в радиусе 300 метров от цели имеется объект типа «Причал», цель автоматически назначается в пришвартованный режим).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Если от цели, находящейся в якорном или пришвартованном режиме, приходит сообщение о смене навигационного статуса АИС на любой, отличный от Anchored или Moored (соответственно), то цель назначается в свободный режим.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4.</w:t>
      </w:r>
      <w:r>
        <w:rPr>
          <w:rFonts w:ascii="Times New Roman" w:hAnsi="Times New Roman" w:eastAsia="Times New Roman" w:cs="Times New Roman"/>
          <w:color w:val="000000"/>
          <w:sz w:val="28"/>
          <w:szCs w:val="28"/>
        </w:rPr>
        <w:t xml:space="preserve"> Используя Руководство к ПАК рабочего места оператора СУДСпроизвести просмотр сообщений АИС и ЦИВ (DSC). Выбратьпункт меню Окно® Сообщения АИС/DSC.</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5.</w:t>
      </w:r>
      <w:r>
        <w:rPr>
          <w:rFonts w:ascii="Times New Roman" w:hAnsi="Times New Roman" w:eastAsia="Times New Roman" w:cs="Times New Roman"/>
          <w:color w:val="000000"/>
          <w:sz w:val="28"/>
          <w:szCs w:val="28"/>
        </w:rPr>
        <w:t xml:space="preserve"> Используя руководство к ПАК рабочего места оператора СУДСпроизвести отправку сообщения. В окне Сообщения АИС/DSC:</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5.1.</w:t>
      </w:r>
      <w:r>
        <w:rPr>
          <w:rFonts w:ascii="Times New Roman" w:hAnsi="Times New Roman" w:eastAsia="Times New Roman" w:cs="Times New Roman"/>
          <w:color w:val="000000"/>
          <w:sz w:val="28"/>
          <w:szCs w:val="28"/>
        </w:rPr>
        <w:t xml:space="preserve"> Нажать кнопку «Сообщение»;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5.2.</w:t>
      </w:r>
      <w:r>
        <w:rPr>
          <w:rFonts w:ascii="Times New Roman" w:hAnsi="Times New Roman" w:eastAsia="Times New Roman" w:cs="Times New Roman"/>
          <w:color w:val="000000"/>
          <w:sz w:val="28"/>
          <w:szCs w:val="28"/>
        </w:rPr>
        <w:t xml:space="preserve"> Выбрать тип сообщения: текстовое или о безопасности.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5.3.</w:t>
      </w:r>
      <w:r>
        <w:rPr>
          <w:rFonts w:ascii="Times New Roman" w:hAnsi="Times New Roman" w:eastAsia="Times New Roman" w:cs="Times New Roman"/>
          <w:color w:val="000000"/>
          <w:sz w:val="28"/>
          <w:szCs w:val="28"/>
        </w:rPr>
        <w:t xml:space="preserve"> Выбрать адресата в секции «Кому</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всем судам или одному судну.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5.4.</w:t>
      </w:r>
      <w:r>
        <w:rPr>
          <w:rFonts w:ascii="Times New Roman" w:hAnsi="Times New Roman" w:eastAsia="Times New Roman" w:cs="Times New Roman"/>
          <w:color w:val="000000"/>
          <w:sz w:val="28"/>
          <w:szCs w:val="28"/>
        </w:rPr>
        <w:t xml:space="preserve"> Ввести текст сообщения в окно ввода.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5.5.</w:t>
      </w:r>
      <w:r>
        <w:rPr>
          <w:rFonts w:ascii="Times New Roman" w:hAnsi="Times New Roman" w:eastAsia="Times New Roman" w:cs="Times New Roman"/>
          <w:color w:val="000000"/>
          <w:sz w:val="28"/>
          <w:szCs w:val="28"/>
        </w:rPr>
        <w:t xml:space="preserve"> Отправить подготовленное сообщение, нажав на кнопку «Послать».</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2-030101-037 Положения по классификации морских автономных и дистанционно управляемых надводных судов (МАНС) // Российский морской регистр судоходства –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Руководство по работе с ПАК рабочего места оператора СУДС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 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ПАК «Рабочее место оператора СУДС»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оперативную оценку судоходной и навигационной обстановки, получать наиболее полную информацию о местоположении судов, в том числе МАНС, в зоне действия СУДС. при помощи технических средств СУДС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Используя руководство по эксплуатации АИС Транзас Т214 изучить типы принимаемых и отображаемых данных АИС.
Шаг 2. Используя меню «Приоритет сопровождения» ПАК рабочего места оператора СУДС по заданию инструктора произвести смену режима сопровождения («Радар» – цель сопровождается по данным радаров; «АИС» – цель сопровождается по данным АИС; «АИС + Радар» – интегрированная цель, сопровождается по данным радара и АИС).
Шаг 3. По заданию инструктора установить автоматическую смену режимов движения целей АИС.
Шаг 4. Используя руководство к ПАК рабочего места оператора СУДС произвести просмотр сообщений АИС и ЦИВ (DSC). Выбратьпункт меню Окно Сообщения АИС/DSC.
Шаг 5. Используя руководство к ПАК рабочего места оператора СУДС произвести отправку сообщения.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Используя руководство по эксплуатации АИС Транзас Т214 изучить типы принимаемых и отображаемых данных АИС.
Шаг 2. Используя меню «Приоритет сопровождения» ПАК рабочего места оператора СУДС по заданию инструктора произвести смену режима сопровождения («Радар» – цель сопровождается по данным радаров; «АИС» – цель сопровождается по данным АИС; «АИС + Радар» – интегрированная цель, сопровождается по данным радара и АИС).
Шаг 3. По заданию инструктора установить автоматическую смену режимов движения целей АИС.
Шаг 4. Используя руководство к ПАК рабочего места оператора СУДС произвести просмотр сообщений АИС и ЦИВ (DSC). Выбратьпункт меню Окно Сообщения АИС/DSC.
Шаг 5. Используя руководство к ПАК рабочего места оператора СУДС произвести отправку сообщения.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Проведение операций с сопровождаемыми целями.</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сбор, оценку и распространение информации СУДС, а также взаимодействие с судами (в том числе, с полуавтономными и автономными) для оказания информационных услуг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Сбор, оценка и распространение информации СУДС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1.</w:t>
      </w:r>
      <w:r>
        <w:rPr>
          <w:rFonts w:ascii="Times New Roman" w:hAnsi="Times New Roman" w:eastAsia="Times New Roman" w:cs="Times New Roman"/>
          <w:color w:val="000000"/>
          <w:sz w:val="28"/>
          <w:szCs w:val="28"/>
        </w:rPr>
        <w:t xml:space="preserve"> Определить приоритеты предложенной инструктором информации по степени важности и провести классификацию информации по содержанию.</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2.</w:t>
      </w:r>
      <w:r>
        <w:rPr>
          <w:rFonts w:ascii="Times New Roman" w:hAnsi="Times New Roman" w:eastAsia="Times New Roman" w:cs="Times New Roman"/>
          <w:color w:val="000000"/>
          <w:sz w:val="28"/>
          <w:szCs w:val="28"/>
        </w:rPr>
        <w:t xml:space="preserve"> Выделить в сообщении фрагменты, которые имеют несколько интерпретаций вследствие языковых различий и могут негативно повлиять на понимание сообщения.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3.</w:t>
      </w:r>
      <w:r>
        <w:rPr>
          <w:rFonts w:ascii="Times New Roman" w:hAnsi="Times New Roman" w:eastAsia="Times New Roman" w:cs="Times New Roman"/>
          <w:color w:val="000000"/>
          <w:sz w:val="28"/>
          <w:szCs w:val="28"/>
        </w:rPr>
        <w:t xml:space="preserve"> Выбрать оптимальный способ передачи сообщения в ЦДУ и МАНС в зависимости от поставленной инструктором задачи.</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звнятий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R0103 (V-103) TRAINING AND CERTIFICATION OF VTS PERSONNEL : VTS, 10.12.2020 // https://www.iala-aism.org/product/r0103/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НД 2-030101-037 Положения по классификации морских автономных и дистанционно управляемых надводных судов (МАНС) // Российский морской регистр судоходства –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А.918(22) - Стандартные фразы ИМО для связи на море. Резолюция А.851(20) - Общие принципы систем судовых сообщений и требований к судовым сообщениям, включая руководство по сообщениям об инцидентах с опасными грузами, вредными веществами и/или поллютантами.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IMO А.705(17) - Распространение информации по безопасности на море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MX800 Инструкция по эксплуатации. Базовая станция, ретранслятор, приемник и передатчик. ООО «Радио Комплекс», 2016</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Правила радиосвязи морской подвижной службы и морской подвижной спутниковой службы РФ. РД 31.64.54-2001 с Доп. (РД 31.06.09-2003, РД 31.06.10-2003) 2022 г.</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 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ПАК «Рабочее место оператора СУДС»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щт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сбор, оценку и распространение информации СУДС, а также взаимодействие с судами (в том числе, с полуавтономными и автономными) для оказания информационных услуг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Определить приоритеты предложенной инструктором информации по степени важности и провести классификацию информации по содержанию.
Шаг 2. Выделить в сообщении фрагменты, которые имеют несколько интерпретаций вследствие языковых различий и могут негативно повлиять на понимание сообщения.
Шаг 3. Выбрать оптимальный способ передачи сообщения в ЦДУ и МАНС в зависимости от поставленной инструктором задачи.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Определить приоритеты предложенной инструктором информации по степени важности и провести классификацию информации по содержанию.
Шаг 2. Выделить в сообщении фрагменты, которые имеют несколько интерпретаций вследствие языковых различий и могут негативно повлиять на понимание сообщения.
Шаг 3. Выбрать оптимальный способ передачи сообщения в ЦДУ и МАНС в зависимости от поставленной инструктором задачи.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Эксплуатация соответствует международным правилам и процедурам, осуществляются эффективно.</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оперативно реагировать на аварийные ситуации,  формировать материалы по аварийным случаям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Отработка действий оператора СУДС при получении информации о ЧС техногенного характера</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Проинформировать начальника смены СУДС.</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Оповестить все МАНС и ЦДУ в зоне ЧС, рекомендовать усилить наблюдение и привести в готовность средства индивидуальной защиты, герметизации, противохимической вентиляции, предотвращения заражений, специальной обработки.</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 согласованию с ЦИГПК принять меры по ограничению движения и выводу судов из опасной зоны.</w:t>
      </w:r>
    </w:p>
    <w:p>
      <w:pPr>
        <w:numPr>
          <w:ilvl w:val="0"/>
          <w:numId w:val="257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При обнаружении факторов, угрожающих безопасности движения судов и стоянки на рейдах, доложить в ЦИГПК и действовать в соответствии с получаемыми указаниями.</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КОНВЕНЦИЯ о Международных правилах предупреждения столкновений судов в море 1972 года с поправками : с изменениями на 29 ноября 2001 года // https://docs.cntd.ru/document/1901005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Руководство по работе с ПАК рабочего места оператора СУДС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 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ПАК «Рабочее место оператора СУДС»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оперативно реагировать на аварийные ситуации,  формировать материалы по аварийным случаям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Проинформировать начальника смены СУДС.
Шаг 2.	Оповестить все МАНС и ЦДУ в зоне ЧС, рекомендовать усилить наблюдение и привести в готовность средства индивидуальной защиты, герметизации, противохимической вентиляции, предотвращения заражений, специальной обработки.
Шаг 3.	По согласованию с ЦИГПК принять меры по ограничению движения и выводу судов из опасной зоны.
Шаг 4.	При обнаружении факторов, угрожающих безопасности движения судов и стоянки на рейдах, доложить в ЦИГПК и действовать в соответствии с получаемыми указаниями.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Проинформировать начальника смены СУДС.
Шаг 2.	Оповестить все МАНС и ЦДУ в зоне ЧС, рекомендовать усилить наблюдение и привести в готовность средства индивидуальной защиты, герметизации, противохимической вентиляции, предотвращения заражений, специальной обработки.
Шаг 3.	По согласованию с ЦИГПК принять меры по ограничению движения и выводу судов из опасной зоны.
Шаг 4.	При обнаружении факторов, угрожающих безопасности движения судов и стоянки на рейдах, доложить в ЦИГПК и действовать в соответствии с получаемыми указаниями.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Все действия выполнены в верном порядке, связь со всеми задействованными должностными лицами установлена, рекомендации выданы четко и однозначно на языке, установленном для коммуникации с МАНС, указания из ЦИГПК выполняются четко и своевременно.</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142"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58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6185"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368"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6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5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04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9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00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14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18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34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61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73">
    <w:multiLevelType w:val="hybridMultilevel"/>
    <w:lvl w:ilvl="0" w:tplc="60426220">
      <w:start w:val="1"/>
      <w:numFmt w:val="decimal"/>
      <w:lvlText w:val="%1."/>
      <w:lvlJc w:val="left"/>
      <w:pPr>
        <w:ind w:left="720" w:hanging="360"/>
      </w:pPr>
    </w:lvl>
    <w:lvl w:ilvl="1" w:tplc="60426220" w:tentative="1">
      <w:start w:val="1"/>
      <w:numFmt w:val="lowerLetter"/>
      <w:lvlText w:val="%2."/>
      <w:lvlJc w:val="left"/>
      <w:pPr>
        <w:ind w:left="1440" w:hanging="360"/>
      </w:pPr>
    </w:lvl>
    <w:lvl w:ilvl="2" w:tplc="60426220" w:tentative="1">
      <w:start w:val="1"/>
      <w:numFmt w:val="lowerRoman"/>
      <w:lvlText w:val="%3."/>
      <w:lvlJc w:val="right"/>
      <w:pPr>
        <w:ind w:left="2160" w:hanging="180"/>
      </w:pPr>
    </w:lvl>
    <w:lvl w:ilvl="3" w:tplc="60426220" w:tentative="1">
      <w:start w:val="1"/>
      <w:numFmt w:val="decimal"/>
      <w:lvlText w:val="%4."/>
      <w:lvlJc w:val="left"/>
      <w:pPr>
        <w:ind w:left="2880" w:hanging="360"/>
      </w:pPr>
    </w:lvl>
    <w:lvl w:ilvl="4" w:tplc="60426220" w:tentative="1">
      <w:start w:val="1"/>
      <w:numFmt w:val="lowerLetter"/>
      <w:lvlText w:val="%5."/>
      <w:lvlJc w:val="left"/>
      <w:pPr>
        <w:ind w:left="3600" w:hanging="360"/>
      </w:pPr>
    </w:lvl>
    <w:lvl w:ilvl="5" w:tplc="60426220" w:tentative="1">
      <w:start w:val="1"/>
      <w:numFmt w:val="lowerRoman"/>
      <w:lvlText w:val="%6."/>
      <w:lvlJc w:val="right"/>
      <w:pPr>
        <w:ind w:left="4320" w:hanging="180"/>
      </w:pPr>
    </w:lvl>
    <w:lvl w:ilvl="6" w:tplc="60426220" w:tentative="1">
      <w:start w:val="1"/>
      <w:numFmt w:val="decimal"/>
      <w:lvlText w:val="%7."/>
      <w:lvlJc w:val="left"/>
      <w:pPr>
        <w:ind w:left="5040" w:hanging="360"/>
      </w:pPr>
    </w:lvl>
    <w:lvl w:ilvl="7" w:tplc="60426220" w:tentative="1">
      <w:start w:val="1"/>
      <w:numFmt w:val="lowerLetter"/>
      <w:lvlText w:val="%8."/>
      <w:lvlJc w:val="left"/>
      <w:pPr>
        <w:ind w:left="5760" w:hanging="360"/>
      </w:pPr>
    </w:lvl>
    <w:lvl w:ilvl="8" w:tplc="60426220" w:tentative="1">
      <w:start w:val="1"/>
      <w:numFmt w:val="lowerRoman"/>
      <w:lvlText w:val="%9."/>
      <w:lvlJc w:val="right"/>
      <w:pPr>
        <w:ind w:left="6480" w:hanging="180"/>
      </w:pPr>
    </w:lvl>
  </w:abstractNum>
  <w:abstractNum w:abstractNumId="2572">
    <w:multiLevelType w:val="hybridMultilevel"/>
    <w:lvl w:ilvl="0" w:tplc="708296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616"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572">
    <w:abstractNumId w:val="2572"/>
  </w:num>
  <w:num w:numId="2573">
    <w:abstractNumId w:val="2573"/>
  </w:num>
  <w:num w:numId="31616">
    <w:abstractNumId w:val="31616"/>
  </w:num>
  <w:num w:numId="11346">
    <w:abstractNumId w:val="11346"/>
  </w:num>
  <w:num w:numId="15185">
    <w:abstractNumId w:val="15185"/>
  </w:num>
  <w:num w:numId="32143">
    <w:abstractNumId w:val="32143"/>
  </w:num>
  <w:num w:numId="22007">
    <w:abstractNumId w:val="22007"/>
  </w:num>
  <w:num w:numId="3893">
    <w:abstractNumId w:val="3893"/>
  </w:num>
  <w:num w:numId="19041">
    <w:abstractNumId w:val="19041"/>
  </w:num>
  <w:num w:numId="1252">
    <w:abstractNumId w:val="1252"/>
  </w:num>
  <w:num w:numId="1663">
    <w:abstractNumId w:val="1663"/>
  </w:num>
  <w:num w:numId="27368">
    <w:abstractNumId w:val="27368"/>
  </w:num>
  <w:num w:numId="6185">
    <w:abstractNumId w:val="6185"/>
  </w:num>
  <w:num w:numId="18580">
    <w:abstractNumId w:val="18580"/>
  </w:num>
  <w:num w:numId="27142">
    <w:abstractNumId w:val="2714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449543003" Type="http://schemas.openxmlformats.org/officeDocument/2006/relationships/comments" Target="comments.xml"/><Relationship Id="rId80521054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