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старшего помощника капитана в области эксплуатации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330579056"/>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Navi-Planner 4000 User Manual Version: 2.00.344Transas MIPLtd.</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«Руководство по службам движения судов» Международной Ассоциации маячных служб (IALA VTS Manual)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Конвенция о Международных правилах предупреждения столкновений судов в море (МППСС-72), Лондон, 20.10.1972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Международный кодекс по управлению безопасностью (МКУБ) и руководства по его выполнению. Изд-во: ЦНИИМФ, Санкт-Петербург, 2014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Resolution МSС.64(67). Adoption of new and amended performance standards/ Резолюция MSC.64(67) / Принятие новых Эксплуатационных требований и поправок к существующим Эксплуатационным требованиям. London: International maritime organization, 1996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Resolution MSC.86(70)/ Adoption of new and amended performance standards for navigational equipment/ Резолюция MSC.86(70). Принятие новых эксплуатационных требований и поправок к существующим эксплуатационным требованиям, London: International maritime organization, 1998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Resolution A.953(23). World-wide radionavigation system / Резолюция A.953(23). Всемирная радионавигационная система. London: International maritime organization, 2003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Resolution A.1021(26). Сode on alerts and indicators/ Резолюция A.1021(26). Кодекс по извещателям и индикаторам. London: International maritime organization, 2009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MSC/Circ.1061. Guidance for the operational use of integrated bridge systems (IBS)/ Циркулярное письмо MSC.Circ.1061.Руководство по эксплуатации интегрированных систем ходового мостика (ИСМ) London: International maritime organization, 2003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SN.1/Circ.265 Guidelines on the Application of SOLAS Regulation V/15 to INS, IBS and Bridge Design/ Циркулярное письмо SN.1/Circ.265/Rev.1 Руководство по применению правила V/15 конвенции СОЛАС к интегрированной навигационной системе (ИНС), интегрированной системе ходового мостика (ИСМ) и конструкции мостика. London: International maritime organization, 2007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Наставление по организации штурманской службы на судах 2022 год. Последняя редакция. Изд-во: МОРКНИГА,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Resolution А.916(22) Guidelines for the recording of events related to navigation/ Резолюция А.916(22). Руководство по регистрации событий, связанных с судовождением. London: International maritime organization, 2001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Resolution А.893(21). Guidelines for voyage planning / Резолюция ИМО А.893(21) «Руководство по планированию рейса» от 25.11.1999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IALA Maritime Radio Communications Plan, Tech. Rep., December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2.35 802.16 IEEE Standard for Local and metropolitan area networks. Part 16: Air Interface for Fixed Broadband Wireless Access Systems // IEEE Computer Society and the IEEE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Model course 1.32. Operational use of integrated bridge systems including integrated navigation systems /Типовой курс 1.32. Эксплуатационное использование интегрированных систем мостика, включая интегрированные навигационные системы. London: International maritime organization, 2005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Bridge Procedure Guide, Fifth Edition / Руководство по процедурам на мостике, 5-е издание. London: International Chamber Of Shipping, 2016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Unmanned Marine Systems Code // Lloyd’s Register – London,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Autonomous and remotely operated ships // DNV,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Резолюция Международной морской организации № А.1047(27) от 11.11.2011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International Maritime Organization (2009): strategy for the development and implementation of e-navigation, MSC 85/26/Add.1, Annex 20, pp.1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Международная конвенция по охране человеческой жизни на море (СОЛАС-74), Лондон, 01.11.1974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Коваленко В.В. Проектирование информационных систем: учебное пособие для вузов. — Москва : ФОРУМ, 2012. — 319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Вагущенко Л.Л., Вагущенко А.Л. Поддержка решений по расхождению с судами. — Одесса : Феникс, 2010. — 296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2.56 Stefania Sesia, Issam Toufik, Matthew Baker LTE – The UMTS Long Term Evolution. From Theory to Practice. — Chichester, West Sussex : John Wiley &amp; Sons Ltd, 2009. — 611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2.57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2.58 Дмитриев В.И. Пути повышения безопасности судоходства. Учебное пособие. — Москва : ИКЦ «Академкнига», 2005. — 374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2.59 Дмитриев В.И., Григорян В.Л., Катенин В.А. Навигация и лоция. Учебник для вузов. — Москва : ИКЦ «Академкнига», 2015. — 224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2.60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2.61 Хайкин С. Нейронные сети: полный курс, 2-е издание. : пер с англ.. — Москва : Издательский дом «Вильямс», 2006. — 1104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2.62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2.63 Хеннан, Э. Многомерные временные ряды. — Москва : Мир, 1974. — 575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2.65 Дерябин В.В. Автоматизация судовождения. Учебное пособие. — Санкт- Петербург : Лань, 2020. — 156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2.66 Анучин О.Н., Емельянцев Г.И. Интегрированные системы ориентации и навигации для морских подвижных объектов. — Санкт- Петербург : Электроприбор, 2003. — 357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2.67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2.68 Емельянцев Г.И., Степанов А.П. Интегрированные инерциально-спутниковые системы ориентации и навигации. — Санкт- Петербург : Электроприбор, 2016. — 111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2.69 Найденов Е. В., Дмитриев В. И. Безопасное расхождение судов в море. — Москва : МОРКНИГА, 2021. — 264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2.70 Мотрич В.Н. Столкновения судов и их предупреждение. Новый взгляд. — Санкт- Петербург : БХВ, 2017. — 352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2.71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2.72 Официальный сайт АО «Ситроникс КТ» : https://sitronics-kt.ru/</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уязвимые судовые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оценки рисков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признаки компрометации навигационных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прогнозирования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подсистемы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модульную декомпозицию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искусственных нейронных сетей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нейронных сетей для решения задач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 работы системы автоматического управления судна на траектории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возвращения судна на первоначальный путь и коррекции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идентификации состояния судна в удалённом режиме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многофункциональный дисплей и элементы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ситуационной осведомленности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сигналы тревоги и индикаторы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сбора, обобщения и анализа сведений по районам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исходных данных для наиболее сложных в навигационном отношении участков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интегрированной навигационной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теоретические особенности передачи информации 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автоматического управления INS(C)</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оптическую систему анализа окружающей обстановки и состояния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обеспечения навигационной безопасности судоходства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и рекомендациях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базовые принципы обеспечения информационной защиты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w:t>
            </w:r>
            <w:br/>
            <w:r>
              <w:rPr/>
              <w:t xml:space="preserve">Задания с открытым ответом: </w:t>
            </w:r>
            <w:r>
              <w:rPr/>
              <w:t xml:space="preserve">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по кибербезопасности в морской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w:t>
            </w:r>
            <w:br/>
            <w:r>
              <w:rPr/>
              <w:t xml:space="preserve">Задания с открытым ответом: </w:t>
            </w:r>
            <w:r>
              <w:rPr/>
              <w:t xml:space="preserve">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виды киберугроз</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уязвимые судовые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w:t>
            </w:r>
            <w:br/>
            <w:r>
              <w:rPr/>
              <w:t xml:space="preserve">Задания с открытым ответом: </w:t>
            </w:r>
            <w:r>
              <w:rPr/>
              <w:t xml:space="preserve">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повышению осведомленности о кибербезопасности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w:t>
            </w:r>
            <w:br/>
            <w:r>
              <w:rPr/>
              <w:t xml:space="preserve">Задания с открытым ответом: </w:t>
            </w:r>
            <w:r>
              <w:rPr/>
              <w:t xml:space="preserve">24</w:t>
            </w:r>
            <w:br/>
            <w:r>
              <w:rPr/>
              <w:t xml:space="preserve">Задания на установление соответствия: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 оценки рисков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w:t>
            </w:r>
            <w:br/>
            <w:r>
              <w:rPr/>
              <w:t xml:space="preserve">Задания на установление последовательности: </w:t>
            </w:r>
            <w:r>
              <w:rPr/>
              <w:t xml:space="preserve">28</w:t>
            </w:r>
            <w:br/>
            <w:r>
              <w:rPr/>
              <w:t xml:space="preserve">Задания на установление соответствия: </w:t>
            </w:r>
            <w:r>
              <w:rPr/>
              <w:t xml:space="preserve">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признаки компрометации навигационных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политику по кибербезопасности компании, системы управления безопасностью и планы охраны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w:t>
            </w:r>
            <w:br/>
            <w:r>
              <w:rPr/>
              <w:t xml:space="preserve">Задания с открытым ответом: </w:t>
            </w:r>
            <w:r>
              <w:rPr/>
              <w:t xml:space="preserve">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 кибербезопасности судна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осуществления плана кибербезопасности судна и передачи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задачи прогнозирования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на установление соответствия: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подсистемы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w:t>
            </w:r>
            <w:br/>
            <w:r>
              <w:rPr/>
              <w:t xml:space="preserve">Задания на установление соответствия: </w:t>
            </w:r>
            <w:r>
              <w:rPr/>
              <w:t xml:space="preserve">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предъявляемые к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66, 67, 68, 69, 70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модульную декомпозицию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актуальные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76, 77, 78, 79</w:t>
            </w:r>
            <w:br/>
            <w:r>
              <w:rPr/>
              <w:t xml:space="preserve">Задания на установление соответствия: </w:t>
            </w:r>
            <w:r>
              <w:rPr/>
              <w:t xml:space="preserve">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искусственных нейронных сетей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примеры применения нейронных сетей для решения задач автономного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задачи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 работы системы автоматического управления судна на траектории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возвращения судна на первоначальный путь и коррекции 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автоматизированные системы 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106, 107, 108, 109, 110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системы идентификации состояния судна в удалённом режиме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w:t>
            </w:r>
            <w:br/>
            <w:r>
              <w:rPr/>
              <w:t xml:space="preserve">Задания на установление соответствия: </w:t>
            </w:r>
            <w:r>
              <w:rPr/>
              <w:t xml:space="preserve">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многофункциональный дисплей и элементы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121, 122, 123, 124, 125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ситуационной осведомленности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w:t>
            </w:r>
            <w:br/>
            <w:r>
              <w:rPr/>
              <w:t xml:space="preserve">Задания на установление последовательности: </w:t>
            </w:r>
            <w:r>
              <w:rPr/>
              <w:t xml:space="preserve">129</w:t>
            </w:r>
            <w:br/>
            <w:r>
              <w:rPr/>
              <w:t xml:space="preserve">Задания на установление соответствия: </w:t>
            </w:r>
            <w:r>
              <w:rPr/>
              <w:t xml:space="preserve">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сигналы тревоги и индикаторы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131, 132, 133, 134, 135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сбора, обобщения и анализа сведений по районам перехода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136, 137, 138, 139, 140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исходных данных для наиболее сложных в навигационном отношении участков перехода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w:t>
            </w:r>
            <w:br/>
            <w:r>
              <w:rPr/>
              <w:t xml:space="preserve">Задания с открытым ответом: </w:t>
            </w:r>
            <w:r>
              <w:rPr/>
              <w:t xml:space="preserve">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переключения режимов управления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br/>
            <w:r>
              <w:rPr/>
              <w:t xml:space="preserve">Задания на установление соответствия: </w:t>
            </w:r>
            <w:r>
              <w:rPr/>
              <w:t xml:space="preserve">151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интегрированной навигационной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152, 153, 154, 155, 156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понятия о конкордации, средства минимизации конкордационных рисков при удалённом управлении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157, 158, 159, 160</w:t>
            </w:r>
            <w:br/>
            <w:r>
              <w:rPr/>
              <w:t xml:space="preserve">Задания на установление последовательности: </w:t>
            </w:r>
            <w:r>
              <w:rPr/>
              <w:t xml:space="preserve">161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методику обеспечения надлежащего уровня конкордации решений по управлению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162, 163, 164, 165, 166, 167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ограничения передаваемой информации по сравнению с имеющейся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168, 169, 170, 171, 172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теоретические особенности передачи информации в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173, 174, 175, 176, 177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сбора и автоматизированной обработки навигационной информации по различным каналам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178, 179, 180, 181, 182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оптимизации передачи данных, включая видеоизображение в условиях ограниченной пропускной способности канала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183, 184, 185, 186</w:t>
            </w:r>
            <w:br/>
            <w:r>
              <w:rPr/>
              <w:t xml:space="preserve">Задания на установление соответствия: </w:t>
            </w:r>
            <w:r>
              <w:rPr/>
              <w:t xml:space="preserve">187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автоматического управления INS(C)</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188, 189, 190</w:t>
            </w:r>
            <w:br/>
            <w:r>
              <w:rPr/>
              <w:t xml:space="preserve">Задания с открытым ответом: </w:t>
            </w:r>
            <w:r>
              <w:rPr/>
              <w:t xml:space="preserve">191</w:t>
            </w:r>
            <w:br/>
            <w:r>
              <w:rPr/>
              <w:t xml:space="preserve">Задания на установление соответствия: </w:t>
            </w:r>
            <w:r>
              <w:rPr/>
              <w:t xml:space="preserve">192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стандарты автоматического обмена данными между судовыми и береговыми системами а-Навигации и е-Навигации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193, 194, 195, 196, 197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автоматического распознавания навигационных опасностей оптическими системами, в том числе на дальних дистанциях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198, 199, 200, 201, 202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оптическую систему анализа окружающей обстановки и состояния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203, 204, 205, 206</w:t>
            </w:r>
            <w:br/>
            <w:r>
              <w:rPr/>
              <w:t xml:space="preserve">Задания на установление последовательности: </w:t>
            </w:r>
            <w:r>
              <w:rPr/>
              <w:t xml:space="preserve">207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нормативно-правовые акты, регламентирующие деятельность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208, 209, 210, 211, 212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213, 214, 215, 216, 217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218</w:t>
            </w:r>
            <w:br/>
            <w:r>
              <w:rPr/>
              <w:t xml:space="preserve">Задания на установление соответствия: </w:t>
            </w:r>
            <w:r>
              <w:rPr/>
              <w:t xml:space="preserve">219, 220, 221, 222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средства обеспечения навигационной безопасности судоходства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223, 224, 225, 226, 227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228, 229, 230, 231, 232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233, 234, 235, 236, 237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систем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238, 239, 240, 241, 242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международных морских конвенциях и рекомендациях в области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243, 244, 245, 246, 247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международную и национальную классификацию морских автономных надводных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248, 249, 250</w:t>
            </w:r>
            <w:br/>
            <w:r>
              <w:rPr/>
              <w:t xml:space="preserve">Задания на установление соответствия: </w:t>
            </w:r>
            <w:r>
              <w:rPr/>
              <w:t xml:space="preserve">251, 252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253, 254, 255, 256, 257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258, 259, 260, 261, 262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263, 264, 265, 266, 267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необходимости автоматизации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268, 269, 270, 271, 272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взаимосвязь между различными блоками автоматизации навигационных процессов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273, 274, 275, 276, 277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зоны действия и ответственности "человеческого элемента" в схеме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278, 279, 280, 281</w:t>
            </w:r>
            <w:br/>
            <w:r>
              <w:rPr/>
              <w:t xml:space="preserve">Задания на установление последовательности: </w:t>
            </w:r>
            <w:r>
              <w:rPr/>
              <w:t xml:space="preserve">282</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249</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5</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18</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10</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выявлять киберугрозы и реагировать на них в соответствии с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рулевой машиной и рулем судна без риска повреждения во время маневров при различных условиях плавания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судном с интегрированной  системой мостика при ведении автоматизированных процедур записей</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планировать и выполнять рейс как с лоцманом, так и без него, в обычных и чрезвычайных ситуациях</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обеспечивать плавание и маневрирование судна в зоне СУДС с соблюдением правил МППСС-72 в различных условиях плавания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5</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1 и 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Верны ответы 1 и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ответы 1 и 3.</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Перечислите проблемы и базовые принципы обеспечения информационной защиты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уязвимость и подверженность МАНС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судовой ИТ-инфраструктуры и подключенного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аутентификации и авторизации пользователей для обеспечения соответствующего доступа к необходимой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данных, используемых в судоохранной среде, обеспечение надлежащей защиты, основанной на чувствительности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свободный доступ к данным неуполномоченным пользователям.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Какие могут быть последствия от ошибочных действий или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Материальные (могут привести к значительным повреждения МАНС и его гибели);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Гибель людей, находящихся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Попадание нефтепродуктов в морские воды при столкновении или разрушении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Травмирование и ранения членов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Нанесение непоправимого ущерба экосистеме, включая рыбный промысел.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полуавтономных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судов с поддержкой принятия решений.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Что означает аббревиатура RC?</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Дистанционное управление с возможностью перехода на ручное;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управление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Ручное управление с поддержкой принятия решения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Ручное с традиционными техническими средствами навигации.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Перечислите основные документы по кибербезопасности в морской отрасли: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Руководство по управлению морскими киберрисками;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Резолюция ИМО "Основы кибербезопасности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кибербезопасности на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Федеральный закон от 26.07.2017 № 187-ФЗ "О безопасности критической информационной инфраструктуры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об организации аварийно-спасательного обеспечения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Международная конвенция по предотвращению загрязнения морской окружающей среды 1973 года, измененная Протоколом 1978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оценки и координации деятельности в чрезвычайных ситуациях ООН (ЮНДАК);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Кодекс Торгового мореплавания в РФ.</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Дайте наиболее полное определение понятию: "Морские киберугрозы -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риски технологическому ресурсу со стороны потенциальных обстоятельств или событий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риски, связанные с внешним воздействием хакеров на технические средства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риски, связанные с нарушениями техники кибербезопасности экипажем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риски, связанные со "спуффингом".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Необходимо ли наличие резервной копии ОПС на другом сервере?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только при условии, что отсутствуют облачные системы автоматического дублирования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только при условии отсутствия аварийных носителей для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Water holing;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Киберугрозы для автономного судна не существуют;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если передаваемые данные кодируются с помощью криптографических методов.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Destroy;</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Верно ли утверждение: "Наличие уязвимых судовых систем не гарантирует киберпреступникам непосредственную реализацию киберугрозы и возникновение киберинцидента. Но существуют уязвимости, являющиеся предпосылками для возможной реализации задуманного киберпреступниками. Данные уязвимости могут быть использованы, в том числе, через уязвимые судовые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 так как на суднах МАНС отсутствует возможность киберугроз;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Неверно, так как на суднах МАНС высокая вероятность кибератак;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Неверно, так как  на суднах МАНС не допускается наличие уязвимых судовых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Уязвимые судовые системы могут включать следующие мостовые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интегрированная система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позиционирования (GPS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система отображения электронных карт (ECDIS;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автоматическая идентификационная система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охранной сигнализации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Укажите термин, которым описывается одна из категорий киберугроз (атак), когда системы и данные компании или судна являются одной из многих потенциальных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Укажите термин, которым описывается одна из категорий киберугроз (атак), когда системы и данные компании или судна являются предполагаемой целью или одной из нескольких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Заполните пропуск: "Для обеспечения эффективного обмена данными на борту МАНС и за его пределами информационно-вычислительная система МАНС разделяется на информационные домены с разной степенью защищенности: домен управления МАНС - закрытый, домен информационных услуг МАНС - ___________________."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внешних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Сопоставьте термины и определения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Вредоносное ПО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 для доступа к компьютеру или повреждения компьютера без ведома владельца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Программа вымогатель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шифрует данные в системах до тех пор, пока не будет выплачен выкуп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Экспло́ит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Перед тем, как начать оценку киберрисков МАНС,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основных производителей критического судового ИТ и ОТ оборудования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определить основных пользователей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определить основные цели и задачи, решаемые ОТ оборудованием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определить основные цели и задачи, решаемые ИТ оборудованием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Закончите фразу: " Перед тем, как начать оценку киберрисков МАНС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требуется изучение подробной документации по техническому обслуживанию и поддержке систем ИТ и ОТ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требуется изучение документации по техническому обслуживанию и поддержке систем ИТ и ОТ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требуется изучение кратких инструкций по работе ИТ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требуется изучение кратких инструкций по работе ОТ на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Установите последовательность этапов оценки рисков: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предварительная оценка киберрисков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оценка сети, систем и устройств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обсуждение и обзор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отчет.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Установите соответствие этапов оценки рисков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оценка сети, систем и устройств МАНС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проверка конфигурации всех компьютеров, серверов, маршрутизаторов и технологий кибербезопасности, включая межсетевые экраны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обсуждение и обзор уязвимостей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каждая выявленная уязвимость должна быть оценена с точки зрения ее потенциального воздействия и вероятности ее использования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отчет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возможность рассмотреть, обсудить и оценить результаты, часть результатов может потребоваться отправить производителям затронутых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Установите соответствие этапов оценки рисков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обсуждение и обзор уязвимостей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каждая выявленная уязвимость должна быть оценена с точки зрения ее потенциального воздействия и вероятности ее использования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отчет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возможность рассмотреть, обсудить и оценить результаты, часть результатов может потребоваться отправить производителям затронутых систем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предварительная оценка киберрисков МАНС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изучение подробной документации по техническому обслуживанию и поддержке систем ИТ и ОТ на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неожиданные всплывающие окна;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медленный запуск и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подозрительная активность жесткого диска;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места для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отсутствующие файлы.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подозрительная активность жесткого диска;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отсутствие места для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отсутствующие файлы;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невозможно открыть или установить антивирусную программу.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медленный запуск и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сбои и сообщения об ошибках;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низкая сетевая активность;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компьютера отключена;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невозможно открыть или установить антивирусную программу.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Укажите признаки компрометации навигационных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сбой (отказ) системы-источника навигационных данных на борту или сопряжения с ней (РЛС, АИС и 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автоматического режима для дальнейшего управления автономным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некорректная работа интерфейсов Клиента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невозможность удержания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прерывание канала связи с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Укажите признаки компрометации навигационных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невозможность применения автоматического режима для дальнейшего управления автономным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некорректная работа интерфейсов Клиента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удержание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прерывание канала связи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несоответствие виртуальной модели окружающей обстановке действительности.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Если в течение 3 минут с момента сигнализации судно не перешло на ручное управление,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уменьшить ход до минимального;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продолжить следовать согласно курсу;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увеличить ход до максимального;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изменить курс вправо и лечь на циркуляцию.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ограничениях пропускной способности канала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пределах акватории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Верно ли утверждение: "Использование USB-накопителей, USB-дисководов и мобильных телефонов не позволяет легко переносить вредоносные программы"?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USB-накопителей;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мобильных телефонов.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Что относится к политике по кибербезопасности компании, системы управления безопасностью и плану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СУБ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Несёт ли экипаж МАНС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несёт только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несут только капитан МАНС и старший помощник капитана.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Береговая охрана;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За что отвечает группа поддержки МАНС (АVST)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смерти члена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За что отвечает группа реагирования на киберинциденты (АCSIRT)?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анализ информации, категоризацию любых киберинцидентов и их устранение;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Старший помощник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Можно ли экипажу МАНС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Нет, строго запрещено;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это допускается в аварийных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это допускается с согласования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это допускается с согласования члена внешнего экипажа.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Экипаж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Старший механик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Глава ИТ-отдела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Что из перечисленного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Копирование данных систем видеорегистрации навигационной обстановки наличный USB-носитель;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скорости передачи сигнала для передачи файлов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Импортирование в систему судна данных с личного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Компания разработчик ПО для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Какое дополнительное программное обеспечение устанавливает экипаж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применительно к текущей конструкции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применительно к задачам и типу груза, поставленным перед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Дополнительное ПО не устанавливается.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Капсульные.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Регрессия;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Кластеризация;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Сжатие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Нейросети хорошо проявляют себя не только в распознавании, но и в генерации изображений. Но кое с чем у них все-таки возникают проблемы. С чем именно?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Расположением деталей.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Кто создал первую модель искусственных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Мак-Каллок и Питтс;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Дэвид И. Румельхарт, Дж. Е. Хинтон и Рональд Дж. Вильямс;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Фрэнк Розенблатт;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Саймон Хайкин.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Структуру, основанную на технологиях прогнозирования и выполнении анализа рядов временных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Особенностью функционирования СППР является программный алгоритм последовательности действий, которые необходимо выполнять по ходу плана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Особенностью функционирования СППР является единовременное отображение на рабочем экране информации радарного процессора 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Что из перечисленного НЕ относится к основным задачам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ресурсов, необходимых для эффективного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плана перехода на участках сложной навигационной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К основным решаемым задачам в процессе прогнозирования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возможных действий для устранения угрозы посадки на мель и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результатов планируемых маневров с оценкой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из возможных маневров допустимых;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возможных действий других участников судового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погодных условий на следующие 48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Система мониторинга параметров волнения предоставляет текущие и прошлые значения следующих параметров волнения: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высоты h значительных волн;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высоты h мах максимальных волн обеспеченности: среднего периода волнения;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высоты h мах максимальных волн обеспеченности: большого периода волнения, направления и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высоты h мах максимальных волн, раскладывающихся на волновой спектр.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временные ряды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предикторы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Продолжите высказывание: "Основой для проведения операции нечеткого логического вывода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база правил, содержащая нечеткие высказывания в форме "если - то" и функция принадлежности для соответствующих лингвистических терминов;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база знаний, собранных в результате алгоритмизации понятия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информационного обеспечения облачных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сформированных компетентными агентами в области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прогнозирование поведения объекта наблюдения из краткосрочного прецедентно-статистического образа.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К задачам планирования в рамках системы поддержки принятия решений безопасности судовождения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Вычисление объёма запасов пресной воды и продовольствия.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Нивелирование степени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Сопоставьте элементы с их значениями. Выделяют следующие режимы функционирования системы поддержки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 работы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Укажите объект, не относящийся к структуре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МАНС и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Адаптивная автоматическая система выработки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позиционирования МАНС в окружающей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передачи информации СУДС/ЦДУ.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Сколько классов состояния судна определяет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В какой из систем применены технологии распознавания образов, основанные на технологиях искусственного интеллекта?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Клиент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Система предупреждения столкновений включает следующие основные части: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аппаратные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лингвистическое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методологическое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Укажите три класса состояния судна, определяемых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 состояний "Обычная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 состояний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 "Аварийных, неуправляемых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Класс состояний "Удовлетворительная морская практика".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Какой из перечисленных приборов использует принцип регулирования по задающему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Какой из перечисленных приборов использует принцип управления по возмущающему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Какой из перечисленных приборов использует принцип регулирования по отклонению?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Дифференциальный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современных САУ применяются регуляторы, использующие эти законы совместно(ПИД).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Перечислите  основные принципы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Управление по регулировке.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Для чего предназначена Экспертная система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Экспертная система предназначена для оценки действий судоводителя или оператора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Экспертная система предназначена для проведения экспертизы при расследовании инцидентов, связанных с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Какие из перечисленных СППР относятся к функциональным?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и природы;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Программное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Укажите типы задач принятия решений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Прогнозируемые.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В чём заключается "помощь", оказываемая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сборе данных и компьютерной поддержке анализа ситуации, сложившейся в ходе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помощи в оценке приоритетов отдельных, составляющих обсуждаемой ситуации и решения проблемы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автоматическом принятии навигационных решений в отсутствии судоводителя на борту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Сопоставьте режимы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 чем заключается преимущество нейронных сетей перед традиционными алгоритмами?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Нейронные сети работают только с полными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Нейронные сети могут обрабатывать только небольшие объемы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Нейронные сети способны выявлять сложные зависимости между входными данными и выходными, а также выполнять обобщение;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Нейронные сети могут работать только со сложными типами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Что такое классификация в контексте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создания кластеров из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 нахождения коэффициентов связей между нейронами;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принятия решений и управления на основе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 обучения нейронной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Что такое кластеризация в контексте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создания кластеров из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 нахождения коэффициентов связей между нейронами;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принятия решений и управления на основе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 обучения нейронной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Для чего используется прогнозирование в нейронных сетях?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выделения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обобщения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предсказания будущих значений на основе предыдущих значений и факторов;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определения точного значения входных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Какую возможность дает нейросетям выявление взаимосвязей между параметрами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Сжатие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размерности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Удаление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новых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Для каких задач в судовождении применяются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Навигационные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управления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обработки погодных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Задачи технического обслуживания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Как может использоваться модель судна на основе нейронной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при решении задачи оптимального оценивания вектора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в составе системы стабилизации параметров его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при решении задачи оптимального оценивания вектора состояния судна, так и в составе системы стабилизации параметров его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Какой процесс описывает обучение нейронной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Настройка параметров нейронной сети в реальной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Моделирование среды, в которую встроена нейронная сеть;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Предъявление сети выборки тестовых примеров;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Предъявление сети выборки обучающих примеров.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Что такое Data Mining?</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информационных технологий, связанное с разработкой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Направление информационных технологий, связанное с извлечением знаний из массивов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информационных технологий, связанное с созданием баз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Направление информационных технологий, связанное с охраной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Какие типы обучения нейронной сети существуют?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Обучение с учителем;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Обучение без учителя;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Обучение с использованием батчей;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Обучение без использования батчей;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Обучение с регуляризацией;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Обучение без регуляризации.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Какую основную цель преследует процесс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Автоматизация управленческих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Согласование информации между участниками процесса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Решение задачи в условиях неопределенности и неоднородности использованной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Информационно-аналитическая и инструментальная поддержка процессов принятия решений руководителей.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Какие задачи выполняет нормальный режим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информирования о текущих событиях, проведение анализа кризисных ситуаций, управление широкомасштабными кризисными ситуациями с привлечением сторонних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Выявление проблемных ситуаций, представление аналитических материалов, анализ и рассмотрение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анализа структуры, параметров и возможных направлений развития кризисных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Какие подходы используются для решения неформализуемых или плохо формализуемых задач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Экспертные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Эффективный процесс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Аналитическое выражение;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Классификационные шкалы и связи между элементами.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Какие задачи решаются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Автоматизация управленческих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Какие режимы функционирования СППР выделяются?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Нормальный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Кризисный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Режим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перечисленные режимы;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Режим подготовки.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Дайте определение понятию "Системы автоматического управления" (САУ)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такие системы, которые осуществляют управление каким-либо процессом или техническим устройством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такие системы, которые вырабатывают решение об формировании управляющего воздействия и далее, на основании предложенных решений, человек определяет как управлять объектом управлени;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позволяющая использовать методы машинного обучения.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Дайте определение понятию "устройство управления" (УУ)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полный, целостный набор элементов (компонентов), взаимосвязанных и взаимодействующих между собой так, чтобы могла реализоваться функция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Выберите назначение задающего элемента (ЗЭ)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Выберите назначение исполнительного устройства (ИУ)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Предназначено для выработки сигнала управления u(t) в соответствии с сигналом отклонения х(t) и подачи его на объект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Выберите назначение преобразующего элемента (ПЭ)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Дайте определение оптимального управления в автоматизации: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при котором обеспечиваются следующие показатели: надёжность, эффективность, долговечность, стабильность;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при котором обеспечиваются следующие показатели: стабильность, устойчивость.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Как решается задача стабилизации судна на прямолинейных отрезках пути?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Выполнение поворотов;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Коррекция задаваемого авторулевым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Проводка судна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Исправление курса произвольного отрезка маршрута.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Какой из блоков САУ является "авторулевым устройством", применительно к судовождению?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Измерительный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Устройство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Какой из блоков САУ выполняет функцию сравнения заданного значения с текущим действительным значением управляющего воздействия (определяет разность курсов), применительно к судовождению?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Усилитель;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Сравнивающий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Вычислительное устройство.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Какое влияние оказывают ветер и течение на курс судна при удержании курса на путевую точку?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оказывают влияния;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Уменьшают отклонение от направления на путевую точку;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Увеличивают отклонение от направления на путевую точку;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Делают невозможным удержание курса на путевую точку.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Обязательной задачей какой автономной системы является выполнение буксировочных и швартовных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координированного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Кто должен обеспечить наличие средств дополнительного контроля управления движением, якорными и швартовными устройствами?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Администрация флага;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разной степени -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Что из перечисленного НЕ относится к минимальному набору бортового оборудования МАНС, обеспечивающего его работу при отсутствии людей на борту?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оценки оперативной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за состоянием СЭУ, корпусом, управления движением, якорными и швартовными устройствами;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Средства приёма судовой корреспонденции;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Средства ручного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Выберите возможные способы управления расхождением судов/МАНС: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Классический, или прямой директивный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Неклассический, или индивидуализированный способ управления посредством взаимодействий между группой судов в однородной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отказу".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При помощи каких сетей телекоммуникаций обеспечивается связность подсистем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5G, с возможностью использования 4G;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Радиоканалы в диапазоне УКВ;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Wi-Fi/WiMax;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Покрывает северный и южный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покрывает;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Покрывает только северный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Покрывает только южный полюс.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Интернет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Сети VSAT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Спутников, имеющих средние орбиты.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Укажите, в каком сегменте располагается оборудование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Судовом сегменте – оборудование размещается на борту грузового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Морском сегменте – оборудование размещается на акватории порта или на водных путях;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Береговом сегменте – на берегу на территории порта или в непосредственной близости от водных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Нейтральном сегменте - оборудование размещается в нейтральной зоне.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Система детальной регистрации данных и подсистема  самодиагностики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предназначенная для непрерывного мониторинга и оценки технического состояния систем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осуществляющая анализ и передачу данных о состоянии помещений и оборудования судна на основе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измерителей положения и инерциальных характеристик судна на основе ГНСС, RTK и инерциальных навигационных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параметров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нагрузки на корпус.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килевой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вертикальной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рыскания, поперечного движения корпуса;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Установите соответствие систем судового сегмента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Автономная навигационная система (АНС)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в первую очередь для принятия решений о расхождении судна со всеми навигационными опасностями как на переходе между портами, так и при движении в портовой акватории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Система детальной регистрации данных и подсистема самодиагностики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непрерывного мониторинга и оценки технического состояния систем МАНС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Система анализа окружающей обстановки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обеспечивает распознание целевой обстановки в видимом, инфракрасном, радио, акустическом диапазонах с возможностью ее передачи в машиночитаемом виде в автономную навигационную систему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Система анализа состояния судна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обеспечивает анализ и передачу данных о состоянии помещений и оборудования судна на основе видеонаблюдения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соответствие систем берегового сегмента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Береговая система мониторинга швартовных операций (СМШО)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решения в реальном масштабе времени задачи определения положения корпуса судна при подходе, отходе судна от причала, а также мониторинге стоянки судна во время проведения грузовых операций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Лазерно-оптический измеритель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 для измерения продольного, поперечного и вертикального смещения судна относительно причала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Интеллектуальный блок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предназначен для обработки данных СМШО и передачи посредством системы связи сервисам а-Навигации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Система сбора данных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Предназначена для сбора данных с сенсорных систем СУДС, в том числе береговых РЛС, АИС, видеонаблюдения, данных радиообмена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Как на многофункциональном дисплее отображаются аварийные данные и другая информация, которая считается критически важной для безопасной эксплуатации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свернуто - в структуре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 на видном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запросу, только на аварийном дисплее;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 только на аварийном дисплее.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Что произойдет, если при использовании системы мостика с многофункциональными дисплеями и элементами управления одна рабочая станция выйдет из строя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Функциональность всей системы будет нарушена;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Функциональность этой рабочей станции останется доступной на других рабочих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Функциональность этой рабочей станции будет недоступна;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Будет произведено автоматическое переключение на систему с выделенным дисплеем.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Какая распространенная ошибка может возникнуть при вводе параметров в систему?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Пользователь проверяет значения по умолчанию перед их применением;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принимает вводимые пользователем данные без подтверждения;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Пользователь переходит к другой задаче, не проверив, что система приняла вводимые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вводимые данные имеют решающее значение для безопасной эксплуатации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Что такое целостность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поддержание и обеспечение точности и согласованности данных на протяжении всего их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процесс обработки данных в системе;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защита данных от несанкционированного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процесс извлечения данных из базы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Что является нарушением целостности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Любые непреднамеренные изменения данных в результате операций хранения, извлечения или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Любые преднамеренные изменения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данных без разрешения владельца;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Что такое ситуационная осведомленность?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Восприятие существующей и развивающейся ситуации с использованием только навигационной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Представление сценария развития ситуации в прошлом;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Осознание того, что происходит в окружающей среде и понимание, как информация, события и собственные действия будут влиять на цели и задачи в текущий момент и в ближайшем будущем;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Получение информации от других участников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Как интегрированная система мостика может повлиять на ситуационную осведомленность судоводителя?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Интегрированная система мостика не имеет влияния на ситуационную осведомленность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Интегрированная система мостика может только способствовать улучшению ситуационной осведомленности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Интегрированная система мостика может как способствовать, так и отвлекать от ситуационной осведомленности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Интегрированная система мостика может только отвлекать от ситуационной осведомленности судоводителя.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Вид отказа может представлять собой: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нарушение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утрату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исправления отказа;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Установите последовательность этапов управления ситуационной осведомленностью: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Сбор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Анализ;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Визуализация;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Отчеты;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Реагирование (ручное или автоматическое).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Установите соответствие: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Подготовка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процесс быстрого и эффективного сбора необходимых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Анализ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процесс слияния информации от разнородных источников, определения важного и неважного для обеспечения непрерывности бизнеса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Визуализация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представление собранных и проанализированных данных в необходимой форме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Какие функции имеют сигналы тревоги в интегрированной системе мостика?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Предупреждение о состояниях, требующих внимания;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Предотвращение аварийного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Информирование о состоянии системы или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функции.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Что обозначают первичные сигналы тревоги в интегрированной системе мостика?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Существует непосредственная опасность для жизни людей и необходимо предпринять немедленные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требующее незамедлительного внимания для предотвращения аварийного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Сигналы тревоги меньшего характера;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Информацию о состоянии системы или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Какие действия следует предпринять при получении тревожного сигнала?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Переключение на более высокий уровень автоматизации;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Переключение на автономный режим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Переключение на ручное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Ожидать повторного подтверждения тревожного сигнала.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Что должна включать регистрация событий, связанных с судовождением, которая ведется на судах в соответствии с Правилом V/28 СОЛАС74 и Резолюцией IMO A.916 (22)?</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Достаточно подробную информацию для восстановления полной картины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погодных условиях во время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затрате горючего на каждый день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Подробную информацию о грузе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Что такое классический симптом информационной перегрузки?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Объем поступающей информации превышает возможности  памяти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 поступления информации превышает пропускную способность;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Средний темп и объем информации не соответствуют возможностям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поступает случайным образом и время ее обработки разное.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При составлении плана перехода должны учитываться: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факторы, связанные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внешние факторы, которые можно учесть заранее;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факторы, связанные с судном и все внешние факторы, которые можно учесть заранее;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субъективные факторы.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Цель выполнения предварительной прокладки с составлением плана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постоянного контроля за безопасностью судна на всем переходе в любое время при любых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автоматического контроля за удержанием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автоматического контроля за безопасностью судна на прямых участках;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контроля за безопасностью судна при заданных внешних параметрах.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соответствующие глубины под килем в течение всего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осадки на ходу (проседание), которое зависит от скорости движения на мелководье, в том числе за счет килевой и бортовой качки, волнения;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осадки из-за постоянного крена и дифферента, изменение глубины за счет высоты прилива;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соответствующие расстояния до опасностей, принимая во внимание погоду, приливо-отливное течение, ожидаемое движение судов, надежность данных при определении места судна, наличие безопасной воды и используемые навигационные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курсов в точках, которые можно надежно контролировать при помощи радара и визуальных пеленгов;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смену карт, которая не должна происходить в критических точках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увеличение осадки из-за постоянного крена и дифферента, изменение глубины за счет высоты прилива;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схемы разделения движения и требования правила 10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приливо-отливную информацию и заранее рассчитанные допущения моментов на смену направления течений, которые вынуждают планировать ETD/ETA к шлюзу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Разработка детального плана, охватывающего весь период от ошвартовки в порту выхода до швартовки в порту прихода с включением в него также тех участков, где плавание будет проходить под обязательной проводкой лоцмана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предварительная прокладка пути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выход в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плавание в стесненных районах.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Укажите информацию, которая должна содержаться в судовом плане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техники параллельной индексации (но только не по плавучим ориентирам, если не проверено их местоположения) в стесненных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точки перехода с карты на карту;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 и частота определения местоположения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Укажите информацию, которая должна содержаться в судовом плане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закрытые районы;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береговые ориентиры и огни;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ограждающие изолинии и пеленги;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Заполните пропуск: "Целесообразно    сделать    подобранные    на    переход    карты   более   удобными и наглядными для ведения прокладки, или, как говорят, произвести _________ карты"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Заполните пропуск: "Целесообразно    сделать    подобранные    на    переход    карты   более   удобными и наглядными для ведения прокладки, или, как говорят, произвести подъем 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 каком из режимов управления судном команды управления поступают с берегового сервера "АНС"?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Укажите два режима работы рабочей станции автономной 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Джойстик.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Укажите три режима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основные требования к оператору программы автономной навигационной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должен обладать практическими навыками работы на персональном компьютере с графическим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должен иметь подготовку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должен иметь опыт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должен иметь опыт тестирования программ автономной навигационной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Что из перечисленного является основными системами МАНС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Автономная навигационная система, сокращенно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Оптическая система анализа окружающей обстановки и состояния судна, сокращенно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Укажите соответствия между режимами работы рабочей станции автономной навигации и их функционалом: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Мастер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Пользователю доступны все управляющие функции программы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Пользователю доступны только просмотр, выбор и фильтрация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Что представляет собой интегрированная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обеспечивающая  повышение  навигационной  безопасности  мореплавания и эффективности морских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обеспечивающая  повышение  навигационной  безопасности и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обеспечивающая оптимизацию навигации и энергосбережение;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обеспечивающая повышение  эффективности морских перевозок и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Интегрированная навигационная система поддерживает безопасность судоходства за счет: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оценки входных данных навигационных датчиков на предмет достоверности и достоверности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применения «согласованной общей справочной системы» ко всем данным;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объединения и обработки входных данных для предоставления дополнительной информации и оценки целостности как входных, так и обработанных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Укажите, за счет чего интегрированная навигационная система поддерживает безопасность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предоставления своевременных предупреждений пользователям о потенциальных опасностях и любом ухудшении целостности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применения "согласованной общей справочной системы" ко всем данным;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объединения и обработки входных данных для предоставления дополнительной информации и оценки целостности как входных, так и обработанных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Укажите преимущества интегрированной навигационной системы в сравнении с отдельными системами: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привычная для навигатора рабочая среда с выполнением условия по управлению судном одним человеком уменьшает общую загруженность и снижает вероятность возникновения стрессов;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 уровня функциональной интеграции навигационных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сохранности и надежности данных за счет избыточного подключения навигационных датчиков к нескольким станциям и дублированного сетевого соединения;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синхронизации баз данных карт, корректуры, маршрутов и пользовательских баз данных на всех рабочих станциях и программных приложениях;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заказа карт, корректуры и прогноза погоды с использованием судовой станции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Укажите преимущества интегрированной навигационной системы в сравнении с отдельными системами: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утилита отображения состояния программных и аппаратных компонентов системы в реальном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 уровня функциональной интеграции навигационных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распределение по интегрированной навигационной системе радарных изображений от всех доступных радаров;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синхронизации баз данных карт, корректуры, маршрутов и пользовательских баз данных на всех рабочих станциях и программных приложениях;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гибкость настройки задач под определенные условия (открытое море, швартовка, прохождение узкостей);.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Система координированного управления движением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упорами с помощью средств активного управления движением и пассивных рулей направления на основе решений, заданных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Вынесения навигационных рекомендаций всем судам в зоне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навигационной обстановки в районе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Прогнозирование навигационных ситуаций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Опережающее отражение вероятности возникновения и развития аварий на основе анализа причин ее возникновения, ее источника в прошлом и настоящем;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Составление метеорологического прогноза в конкретном навигационном районе;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Расчёт предполагаемых траекторий движения и вероятности выполнения манёвров других участников навигационного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Аппаратная часть системы координированного управления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серверного комплекс и интерфейсы сопряжения с исполнительными устройствами и приборами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технических средств мониторинга технического состояния судна и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систем навигационного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В чем заключается востребованность технологий широкополосного доступа VSAT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Усложняет конструкцию абонентских терминалов.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Восстановите последовательность алгоритма системы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Поступление команд управления на вычислительный прибор СКУ от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Отправка команд через прибор сопряжения с бортовыми средствами дистанционного автоматизированного управления (ДАУ).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Укажите, какие задачи не  решает автономная навигационная система (АНС)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предназначена для организации швартовых и грузовых операций, и проведения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предназначена для высокоточного маневрирования вне акватории портов вблизи районов с интенсивным трафиком.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Выберете, что является ограничением подсистемы автоматического маневрирования и расхождения "ПАМИР"?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Продолжите фразу: "Проблемный мониторинг может носить: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локальный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Укажите, где может быть установлена серверная часть программы автономного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ЦДУ или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в ЦСУДС.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Укажите назначение программного комплекса "Автономная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Комплекс "БЭС-КФ" рассчитан на штатную работу при скорости передачи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500 кБит/с с судна на ПДУ и от 256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256 кБит/с в обоих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215 кБит/с с судна на ПДУ и от 128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215 кБит/с в обоих направлениях.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128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256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512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64 кБит/с.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Уровень качества видеоизображения, передаваемого от систем мониторинга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иметь фиксированные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качества видеоизображения, передаваемого от систем мониторинга МАНС не регламентирован;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Укажите основные ограничения каналов связи МАНС -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 передачи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Задержка отклика на команды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Стабильность соединения, зависящая от погодных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Величина пропускной способности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Какие сервисы доступны в системе VSAT?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Cистема,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Как называется способ обработки информации, предусматривающий создание информационной модели управляемого объекта и распределенной базы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Какой режим используется при централизованном способе обработки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Какой режим используется применяется при децентрализованной и распределенной обработке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К оборудованию систем анализа окружающей обстановки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Активные оптические системы анализа окружающий обстановки на базе лидара для выполнения элементов швартовных операций в автономном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Абсолютная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Отклонение результата измерения от истинного значения или действительного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Отношение абсолютной погрешности измерения к истинному (или действительному) значению измеряемой величины;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Субъективная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Составляющая систематической погрешности измерений, обусловленная индивидуальными особенностями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Составляющая систематической погрешности измерений, обусловленная конструктивными особенностями измерительного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изменяющаяся случайным образом при повторных (многократных)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которые обладают "исключительным" режимом доступа и хранения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Какими факторами объясняется наличие приборной погрешности?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Наличием допусков при изготовлении отдельных частей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Особенностями физического явления, на котором основано его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Ограниченной точностью глаза при снятии показаний со шкалы;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Наличием внешних факторов, дестабилизирующих процесс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Износом измерительного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Расшифруйте аббревиатуру "ОПС" с точки зрения систем автоматики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Организационно-правовая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Ортогональная проекция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Охранно-пожарная сигнализация.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На каком минимальном расстоянии ОПС способна автоматически обнаруживать объекты?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12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миль.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Что включают в себя аппаратные средства ОПС?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Устройства отображения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Какие подсистемы включает в себя 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анализа данных, полученных от системы охранно-пожарной сигнализации.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Сопоставьте назначение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оптической (визуальной) оценки окружающей обстановки и состояния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удерживать судно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учитывать снос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удерживать судно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изменять курс судна на определенную величину, заданную судоводителем;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учитывать снос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изменять курс судна на определенную величину, заданную судоводителем;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Заполните пропуск: "Любую комбинацию навигационных датчиков часто называют интегрированной _____________ системой"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Установите соответствие категории интегрированных навигационных систем и ее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INS(A)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системы, обеспечивающие обработку и отображение информации о курсе, скорости и координатах судна, а также о текущем времени. Каждый из этих параметров должен быть четко обозначен с указанием целостности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INS(B)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обеспечивающие автоматическую обработку и отображение информации о курсе, скорости, текущих координатах судна, а также о глубине с формированием предупредительного сигнала об известных по запланированному маршруту и обнаруженных опасностях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INS(С)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системы, обеспечивающие, в дополнение к функциям категории INS(B), автоматическое  управление  судном  по  курсу,  траектории  или  скорости, и осуществляющие контроль за параметрами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передачи.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датчиков.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Укажите приборы и системы, предназначенные для автономного получения навигационной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НАВ Датчики (Лаг, Гирокомпас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Авторулевой;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Терминал Navtex;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УКВ 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Что включает в себя область данных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данных от различных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различных алгоритмов по архивации, разархивации данных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Обработка данных с учетом всех требований и алгоритмов;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Хранение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Датчики.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Что включает в себя система безопасности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Брандмауэр;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Антивирусные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CCTV;</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СКУД;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Укажите, какой основной параметр настройки влияет на качество распознавания метода SURF?</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Загрубление;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Контрастность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верных утверждений.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типа системы, могут быть верны все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Укажите основные средства обнаружения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Радиопеленгатор.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Какие основные блоки входят в локальную вычислительную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Блок обеспечения информации (БОИ);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Блок выработки решений (БВР);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Командно-организационный блок (КОБ);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Входной блок обучения (ВБО);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Блок аварийного подключения (БАП).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Источником данных для автоматического анализа Обзорно-поисковой системы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 комбинированной с тепловизором (инфракрасной камерой)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об объектах, полученные от ПОИ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Специфика видеонаблюдения с борта судна (качка и вибрации) определяет необходимость цифровой стабилизации изображений: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полученных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полученных от камер, установленных на гиростабилизированной поворотной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полученных как от системы стационарных видеокамер, так и от камер, установленных на гиростабилизированной поворотной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Передача оповещений и видеоинформации осуществляется Подсистемой внутреннего видеонаблюдения: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ручном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автоматическом и ручном режимах;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интервально, по запросу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Оптическая система анализа окружающей обстановки и состояния судна комплекса систем управления МАНС "БЭС-КФ" (ОСА)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подсистемы обеспечения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Нахождение на изображении объекта через уникальные локальные признаки (метод SIFT) включает следующие этапы: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локальных особенностей (точек интереса или ключевых точек);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вычисление ориентаций особенностей;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описание локальных особенностей через дескриптор;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сопоставление дескрипторов.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Определяются на этапе построения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Оборудование СУДС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Сенсоры СУДС: БРЛС; АИС БС; ТВ камеры; УКВ радиостанции; УКВ Радиопеленгаторы; Метео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Коммуникационное оборудование: Радиорелейные станции; Оптоволоконные системы связи; Радио мосты; Сервисы спутниковый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СООРИ СУДС: АРМы операторов СУДС; Сервер СУДС; Сервер БД СУДС (может совмещаться с сервером СУДС); Сервер хранения данных; Радарные вычислители;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Средства отображения информации СУДС; ПО рабочего места оператора СУДС; Средства регистрации и воспроизведения информации СУДС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Мониторинг инфраструктуры; Мониторинг работы технических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Перспективные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Информационная система управления движением судов (VTMIS); Использование в СУДС технологий 3D</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Центр СУДС имеет право запросить судно о предоставлении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дополнительной информации, которая необходима для обеспечения выполнений функций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любой дополнительной информации, не связанной с обеспечением безопасности в зоне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дополнительной информации, в том числе, содержащий коммерческую тайну компании-судовладельца;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ту информацию, которая указана в договоре с компанией-судовладельцем.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Верно ли утверждение: "Капитаны МАНС несут ответственность за то, чтобы пользователи любой бортовой компьютерной системы проинформировал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низкой пропускной способности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случае возникновения аварийной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Виды сообщений с судов на центр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Entry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Movements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Departure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Emergency report.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Виды сообщений с судов на центр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Initial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Entry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Movements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Erroneous report.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Обеспечение доступности систем комплекса "БЭС-КФ"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обеспечением бесперебойного питания единого бортового серверного комплекса на время, необходимое на включение аварийного энергообеспечения на борту судна в случае выхода из строя основного;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 энергообеспечения ПДУ в стационарном центре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наличием резервных копий систем "БЭС-КФ" на отличных от основных (secondary) серверах БСК;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физическим размещением серверов комплекса в двух независимых коммутационных шкафах, предпочтительно, в разных помещениях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наличием свободного доступа для всех пользователей.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Polar Code, Ballast Water Convention.</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Верно ли утверждение: "Помимо создания технических средств большое значение имеет и разработка нормативного регулирования"?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инновационных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интеллектуальных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Российская Федерация;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Соединённые Штаты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Швеция.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Какие принципы лежат в основе отечественной технологии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синтеза сложных технических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Частично-автономное судно с поддержкой режима работы дистанционно.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выработки решений на основании дистанционных команд.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Какая из приведённых характеристик соответствует уровню автономности "Smart" согласно Классификационному сообществу "American Bureau of Shipping (ABS)"?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выполняет заранее заложенные ситуационные операции исходя из внешней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Сопоставьте элементы с их значениями. Классификационное общество "Bureau Veritas" в "Guidelines for autonomous shipping" выделяет следующие уровни автономности морских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Сопоставьте элементы с их значениями. Российский морской регистр судоходства вводит следующую классификацию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MС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Ручное управление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MС_DS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Ручное управление с поддержкой принятия решения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RC_MC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Дистанционное управление с возможностью перехода на ручное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RC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Дистанционное управление нет человека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АС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Автономное управление нет человека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Обсуждение проблем отсутствия смен экипажей вовремя, а также повышения оплаты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направленные на переквалификация морского персонала в операторов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направленные на дооснащение судов оборудование дистанционного пилотирования.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Верно ли утверждение: "Существующая правовая система, регулирующая деятельность водного транспорта, НЕ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за ненадлежащие условия работы на борту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Автономным судном является судно способное осуществлять плавание без экипажа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Автономным судном является судно, способное выполнять маневр расхождения с другим судном или группой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морского судна вместимостью не менее чем 3000, при условии наличия плавательного ценза на аналогичных судах более 12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Судовладелец должен обеспечить наличие и передачу для освидетельствования РС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Что такое "четвертая техническая революция"?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Новый этап развития морского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в практике контроля за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Эффективное сотрудничество всех участников транспортного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цифровых методов гидрометеорологического прогнозирования.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Как называется автоматически управляемое безэкипажное судно, которое совершило первый международный рейс?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SEA-KIT;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Росморпорт.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Что позволяют цифровые методы гидрометеорологического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оптимальный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связаться с береговыми центрами;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сделать комплексный прогноз погоды;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прямой ввод информации в АПИ СРНС.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Какие цели преследует концепция "устойчивой индустрии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эффективности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Унификация выбора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Какие факторы влияют на выбор маршрута капитаном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выгодность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прямой ввод информации в АПИ СРНС;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Каким требованиям должны удовлетворять традиционные средства навигации и управления на борту судна при использовании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указанным в Правилах по оборудованию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указанным в Правилах по оборудованию надводных судов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указанным в Правилах по оборудованию технических средств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дополнительные требования не предъявляются.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Что означает аббревиатура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Local Access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Large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Local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Long Access Network.</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Какие стандарты существуют для технологии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Wi-Fi;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Bluetooth;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стандарты.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Использование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предполагает наличие на борту средств, позволяющих осуществлять ручное управление судном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предполагает наличие на борту традиционных средств, удовлетворяющих соответствующим требованиям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предполагает наличие на борту любых средств, удобных для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Причиной какой доли навигационных аварий по данным ИМО является "человеческий фактор"?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Какие факторы являются объективными предпосылками аварийности флота?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Физиологическое и нервно-психическое состояние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Растущие скорости судов, увеличение их размеров, уплотнение судопотоков;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Технологии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Вредные условия труда в море.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Какие новые подходы и решения требуются для решения проблемы "человеческого элемента" в системе управления безопасностью на судах?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Построение более мощных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новых информационных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более жестких правил и нормативов;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численности экипажа на судах.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Какие основные причины аварийности на море выделяет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грузоподъемность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282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судов, находящихся в зоне возможного столкновения;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классификация судов по степени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областей взаимных обязанностей судов, их соответствия МППСС-72 и границ зоны безопасности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стратегий движения, отвечающих заданным критериям безопасности.</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Опасность; опасность; 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МАНС; Манс; манс; МАНс; МАнс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нецелевые атаки; Нецелевые атаки; НЕЦЕЛЕВЫЕ АТАКИ; нецелевые; Нецелевые; НЕЦЕЛЕВЫЕ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целевые атаки; Целевые атаки; ЦЕЛЕВЫЕ АТАКИ; целевые; Целевые; ЦЕЛЕВЫЕ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достоверный; Достоверный; ДОСТОВЕРНЫЙ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ОТ; от; От; OT; ot; Ot</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кибербезопасности; Кибербезопасности; Кибербезопасности; кибербезопасность; Кибербезопасность; КИБЕРБЕЗОПАСНОСТЬ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подъем; Подъем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карты; Карты; карт; Карт; карта; Карты</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навигационной; Навигационной; навигационная; Навигационная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управлять рулевой машиной и рулем судна без риска повреждения во время маневров при различных условиях плавания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Грамотное управление судном достигается изучением различных способов и приемов маневрирования и мер безопасности, выработанных практикой судовождения. Сложные навигационные и гидрометеорологические условия накладывают дополнительные особенности на выполнение того или иного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 – для маневров «Циркуляция», «Торможение (пассивное)», Торможение (активное)».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идет установившимся курсом и скоростью;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балластном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волнения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загруженная согласно условиям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встречных и попутных судов;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близость к берегу в зависимости от необходимого обременения задачи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 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 элементы проведения маневра «Циркуляция» / «Торможение судна (пассивное / активное)» (угол поворота руля, направление поворота руля, начальная скорость судна). Примечание. Значение курса, которым следует судно, на выполнение упражнения не влияет. Влияет только отношение направления воздействия внешних сил на судно к направлению движения судна (курс).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«Руководство по службам движения судов» Международной Ассоциации маячных служб (IALA VTS Manual)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Коваленко В.В. Проектирование информационных систем: учебное пособие для вузов. — Москва : ФОРУМ, 2012. — 319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элементы движения фиксирует полностью: имеются все необходимые записи;
 маневр выполняет в соответствии с предложенным заданием;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наиболее точными способами;
 проявил способность работать со всеми приборами ходового мостика;
 проявил способность правильно связывать изменение траектории и действующие на судно ветер, волнение, течение.
Оценка «хорошо» выставляется обучающему, если он:
 элементы движения фиксирует в минимально необходимом объеме;
 маневры выполняет с допустимыми отклонениями от условий предложенного задания;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подходящими способами;
 проявил способность в основном правильно связывать изменение траектории и действующие на судно ветер, волнение, течение.
Оценка «удовлетворительно» выставляется обучающему, если он:
 элементы движения фиксирует в минимально необходимом объеме и не систематически;
 маневры выполняет с допустимыми отклонениями от условий предложенного задания;
 не всегда своевременно замечает неполадки в работе приборов; его действия не всегда адекватны ситуации;
 фактическая траектория движения судна не имеет существенных отклонений от ожидаемой;
 место судна фиксирует не всегда самым подходящим способом;
 проявил способность определить, что изменение траектории движения судна зависит от действующих на судно ветра, волнения, течения.
Оценка «неудовлетворительно» выставляется обучающему, если он:
 элементы маневра определил неверно;
 допустил неверные действия по выполнению маневра;
 изменение траектории движения судна не принял во внимание применительно к действующим ветру, волнению, течению.</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управлять судном с интегрированной  системой мостика при ведении автоматизированных процедур записей</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выполнение упражнения на сцене с постепенно ухудшающимися условиями плавания: ухудшение погодных условий, появление судов, требующих расхождения, появление неисправностей судового оборудования (вводится инструктором). Судно существенной осадки следует с моря в 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ходу упражнения инструктор вводит свои обстоятельства плавания на сцене: изменение погодных условий, опасные суда, неисправности своего судна и т.п., что вынуждает обучающихся оценивать новую обстановку и предпринимать действия для предотвращения опасных последствий изменений обстановки. Эти решения принимаются с помощью интегрированной навигационной системы.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основной стадии упражнения происходит все бóльшее ухудшение общей обстановки, что требует постоянного контроля за качеством принимаемых с помощью интегрированной навигационной системы решений. Напряженность происходящего на сцене доводится до очень существенного – проверка способности обучающихся работать в условиях стресса с помощью возможностей интегрированной навигационной системы.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идет с моря установившимся курсом и скоростью с использованием авторулевого;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волнения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уменьшающаяся глубина, приближение к узкости, фарватеру и любые другие подобные усложняющиеся условия плавания.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усложнения условий плавания судна при выполнении упражнения и порядок ввода новых условий окружающей среды и состояния судна.</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Navi-Planner 4000 User Manual Version: 2.00.344Transas MIPLtd.</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правильно работать со всеми приборами ходового мостика и интегрированной навигационной системой в стрессовой ситуации;
 своевременно замечает неполадки в работе приборов; его действия адекватны ситуации;
 осуществил правильный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возникающие ситуации и адекватно на них реагировать;
 проявил способность правильно использовать имеющуюся интегрированную навигационную систему, своевременно выявляя проблемы в ее работе.
Оценка «хорошо» выставляется обучающему, если он:
 проявил способность работать со всеми приборами ходового мостика и интегрированной навигационной системой в стрессовой ситуации;
 неполадки в работе приборов замечает достаточно своевременно; его действия в целом адекватны ситуации;
 осуществил правильный в большинстве случаев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важные возникающие ситуации и адекватно на них реагировать;
 проявил способность в целом правильно использовать имеющуюся интегрированную навигационную систему, своевременно выявляя проблемы в ее работе.
Оценка «удовлетворительно» выставляется обучающему, если он:
 проявил способность работать с основными приборами ходового мостика и интегрированной навигационной системой в стрессовой ситуации;
 неполадки в работе основных приборов замечает достаточно своевременно;
 его действия не приводят к критическому ухудшению ситуации;
 работу с интегрированной навигационной системой ведется им для помощи в принятии решений;
 проявил способность отслеживать ближайшие возникающие ситуации и адекватно на них реагировать;
 проявил способность контролировать интегрированную навигационную систему, выявляя грубые просчеты в ее работе.
Оценка «неудовлетворительно» выставляется обучающему, если он:
 использование им интегрированной навигационной системой не привело к принятию правильных решений в условиях сложного плавания.</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в котором судно существенного тоннажа следует полным передним ходом в открытом море в прибрежном районе с отсутствием навигационных опасностей.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может иметь заранее выбранный вариант INS(A), INS(B) или INS(C). По ходу упражнения инструктор вводит по одной или несколько неисправностей приборов и оборудования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ввода неисправностей в судовые приборы и оборудование при выполнении упражнения.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IALA Maritime Radio Communications Plan, Tech. Rep., December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2.1.6 802.16 IEEE Standard for Local and metropolitan area networks. Part 16: Air Interface for Fixed Broadband Wireless Access Systems // IEEE Computer Society and the IEEE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2.3.2 Официальный сайт АО «Ситроникс КТ» : https://sitronics-kt.ru/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полные знания по работе с приборами в связи с CCRP;
 проявил детальное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полное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«хорошо» выставляется обучающему, если он:
 проявил уверенные знания по работе с приборами в связи с CCRP;
 проявил уверенное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значительное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«удовлетворительно» выставляется обучающему, если он:
 проявил удовлетворительные знания по работе с приборами в связи с CCRP;
 проявил начальное необходимое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понимание всех основных поступающих с интегрированной навигационной системы и интегрированной системы мостика данных и способность их правильно классифицировать.
Оценка «неудовлетворительно» выставляется обучающему, если он:
 не усвоил в достаточном для работы объеме принципы привязки приборов к CCRP и их способы;
 усвоил неверно классификацию интегрированной системы мостика и интегрированной навигационной системы;
 не распознал достаточно успешно важные и второстепенные сигналы тревоги.</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Начиная работу на судне с интегрированной системой мостика, пользователь должен проверить наличие и местонахождение ознакомительного курса, а затем пройти обучение до начала эксплуатации оборудования в море.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предлагаемом упражнении определенное инструктором судно помещается на сцене в точку, свободную от навигационных опасностей, предпочтительно использовать открытое море. Судно не имеет хода, двигатель остановлен.</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Первым шагом упражнения является определение обучающимся какими документами для эксплуатации приборов и оборудования судна, а также судна в целом он располагает. Обучающийся проводит анализ их достаточности для осуществления движения в заданную инструктором точку.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случае положительного решения выполняется второй шаг упражнения – обучающимся определяется состав имеющегося оборудования судна, включенного в интегрированную систему мостика. При необходимости поднимаются инструкции всех необходимых приборов: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определения места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используемая для работы с картами;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создания предварительной прокладки и подъема карт;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управления направлением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обнаружения берега и объектов вокруг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другие приборы, требуемые для начала движения заданного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 изучения инструкций и руководств к оборудованию судна выполняется третий шаг упражнения – начинается работа по началу движения судна в заданную точку с помощью имеющихся на судне средств (см. список выше):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определяется место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выполняется предварительная прокладка маршрута с подъемом карт (упрощенным);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дается ход, самый малый, для обеспечения управляемого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системы управления направлением движения судна оно выводится на нужный курс.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Плавание судно началось.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в море не имеет хода;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усложнения условий плавания судна при выполнении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надлежащего ознакомления с судном;
 проявил способность правильно работать со всеми необходимыми приборами ходового мостика и интегрированной системой мостика для начала плавания судна.
Оценка «хорошо»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начального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Оценка «удовлетворительно» выставляется обучающему, если он:
 проявил способность собирать минимально необходимую информацию из документов – инструкций производителя, руководств по судну и т.п. для минимально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без критических ошибок.
Оценка «неудовлетворительно» выставляется обучающему, если он:
 ознакомление с судном и сбор информации из инструкций не привели его к правильному пониманию процедур работы с оборудованием.</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выявлять киберугрозы и реагировать на них в соответствии с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Обнаружение нарушения кибербезопасности судна,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ходового мостика;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управления движением и управления судном;</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грузовых систем.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тренажера: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танкер;</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Район плавания: открытое море;</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Начальное время: 09.00. (LT);</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Начальные координаты судна: согласно исходным данным варианта;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Режим работы автономной навигационной системы (АНС): «АВТО»</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Начальный курс: 180°;</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Начальная скорость: 12 узлов;</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главного двигателя: ходовой режим;</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Поправка гирокомпаса: + 1.0°;</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Получен прогноз погоды: Ветер 080˚ - 1-2 м/с, волнение – 2,0 м, видимость 10 миль, осадки – нет.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Этапы выполнения задания: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1. Сравнить координаты используя комбинированные приемники GLONASS /GALILEO /BEIDOU для подтверждения спуфинга GPS</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2. Постановка задачи определения спуфинга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3. Если расстояние до берега в пределах 30 морских миль, то спуфинг возможен</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4. Наблюдаются резкие скачки мощности, фазы PPS и координат</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5. Сделать вывод о кибератаке на устройство GNSS</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6. Использовать другие независимые (локальные) источники определения места судна (координат), в зависимости от условий плавания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7. Определить уровень киберриска при эксплуатации полуавтономного судна</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ИМО MSC-FAL.1/Circ.3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А.884(21) «Поправки к Кодексу по расследованию морских аварий и инцидентов»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Пошаговое выполнение задание. Выполнение процедур СУБ судовладельца.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 Уметь планировать и выполнять рейс как с лоцманом, так и без него, в обычных и чрезвычайных ситуациях</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Планирование перехода с помощью средств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сцена, по которой планируется плавание;</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по выбору;</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судно в загруженном или/ балластном состоянии при условии дифферента на корму или ровного киля;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заданные гидрометеорологические условия;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загруженность акватории;</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необходимость приема лоцмана;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 СРД;</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вблизи берега.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 Инструктор определяет:</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сцену для маршрута судна;</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(тип узкости, ветер, течение, волнение); элементы движения судна (скорость судна, загрузка); основные критерии безопасности при планировании плавания.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временные рамки выполнения упражнения;</w:t>
      </w:r>
    </w:p>
    <w:p>
      <w:pPr>
        <w:numPr>
          <w:ilvl w:val="0"/>
          <w:numId w:val="1585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способы записи выполнения плавания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ставит обучающимся задачу составить план перехода с учетом выполнения вышеуказанных параметров.</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Navi-Planner 4000 User Manual Version: 2.00.344Transas MIPLtd.</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2.2.11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2.2.12 Дмитриев В.И. Пути повышения безопасности судоходства. Учебное пособие. — Москва : ИКЦ «Академкнига», 2005. — 374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2.2.13 Дмитриев В.И., Григорян В.Л., Катенин В.А. Навигация и лоция. Учебник для вузов. — Москва : ИКЦ «Академкнига», 2015. — 224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элементы движения фиксирует полностью: имеются все необходимые записи;  маневр выполняет в соответствии с предложенным заданием;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наиболее точными способами;  проявил способность работать со всеми приборами ходового мостика;  проявил способность правильно связывать изменение траектории и действующие на судно ветер, волнение, течение. Оценка «хорошо» выставляется обучающему, если он:  элементы движения фиксирует в минимально необходимом объеме;  маневры выполняет с допустимыми отклонениями от условий предложенного задания;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подходящими способами;  проявил способность в основном правильно связывать изменение траектории и действующие на судно ветер, волнение, течение. Оценка «удовлетворительно» выставляется обучающему, если он:  элементы движения фиксирует в минимально необходимом объеме и не систематически;  маневры выполняет с допустимыми отклонениями от условий предложенного задания;  не всегда своевременно замечает неполадки в работе приборов; его действия не всегда адекватны ситуации;  фактическая траектория движения судна не имеет существенных отклонений от ожидаемой;  место судна фиксирует не всегда самым подходящим способом;  проявил способность определить, что изменение траектории движения судна зависит от действующих на судно ветра, волнения, течения. Оценка «неудовлетворительно» выставляется обучающему, если он:  элементы маневра определил неверно;  допустил неверные действия по выполнению маневра;  изменение траектории движения судна не принял во внимание применительно к действующим ветру, волнению, течению.</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правильно работать со всеми приборами ходового мостика и интегрированной навигационной системой в стрессовой ситуации;  своевременно замечает неполадки в работе приборов; его действия адекватны ситуации;  осуществил правильный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возникающие ситуации и адекватно на них реагировать;  проявил способность правильно использовать имеющуюся интегрированную навигационную систему, своевременно выявляя проблемы в ее работе. Оценка «хорошо» выставляется обучающему, если он:  проявил способность работать со всеми приборами ходового мостика и интегрированной навигационной системой в стрессовой ситуации;  неполадки в работе приборов замечает достаточно своевременно; его действия в целом адекватны ситуации;  осуществил правильный в большинстве случаев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важные возникающие ситуации и адекватно на них реагировать;  проявил способность в целом правильно использовать имеющуюся интегрированную навигационную систему, своевременно выявляя проблемы в ее работе. Оценка «удовлетворительно» выставляется обучающему, если он:  проявил способность работать с основными приборами ходового мостика и интегрированной навигационной системой в стрессовой ситуации;  неполадки в работе основных приборов замечает достаточно своевременно;  его действия не приводят к критическому ухудшению ситуации;  работу с интегрированной навигационной системой ведется им для помощи в принятии решений;  проявил способность отслеживать ближайшие возникающие ситуации и адекватно на них реагировать;  проявил способность контролировать интегрированную навигационную систему, выявляя грубые просчеты в ее работе. Оценка «неудовлетворительно» выставляется обучающему, если он:  использование им интегрированной навигационной системой не привело к принятию правильных решений в условиях сложного плавания.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полные знания по работе с приборами в связи с CCRP;  проявил детальное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полное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«хорошо» выставляется обучающему, если он:  проявил уверенные знания по работе с приборами в связи с CCRP;  проявил уверенное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значительное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«удовлетворительно» выставляется обучающему, если он:  проявил удовлетворительные знания по работе с приборами в связи с CCRP;  проявил начальное необходимое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понимание всех основных поступающих с интегрированной навигационной системы и интегрированной системы мостика данных и способность их правильно классифицировать. Оценка «неудовлетворительно» выставляется обучающему, если он:  не усвоил в достаточном для работы объеме принципы привязки приборов к CCRP и их способы;  усвоил неверно классификацию интегрированной системы мостика и интегрированной навигационной системы;  не распознал достаточно успешно важные и второстепенные сигналы тревоги.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надлежащего ознакомления с судном;  проявил способность правильно работать со всеми необходимыми приборами ходового мостика и интегрированной системой мостика для начала плавания судна. Оценка «хорошо»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начального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Оценка «удовлетворительно» выставляется обучающему, если он:  проявил способность собирать минимально необходимую информацию из документов – инструкций производителя, руководств по судну и т.п. для минимально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без критических ошибок. Оценка «неудовлетворительно» выставляется обучающему, если он:  ознакомление с судном и сбор информации из инструкций не привели его к правильному пониманию процедур работы с оборудованием.</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7</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на судне существенного тоннажа, которое следует полным передним ходом с открытого моря в порт (например, Новороссийск) в зоне ответственности портовой СУДС. На сцене присутствует некоторое количество судов-целей (варьируется для каждого занятия), опасных и нет. Суда-цели будут использоваться инструктором для создания ситуаций, требующих действий по расхождению судов.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к порту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содержит несколько судов-целей, которые могут стать опасными.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плавания в зоне конкретной СУДС, включая управление судами-целями.</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«Руководство по службам движения судов» Международной Ассоциации маячных служб (IALA VTS Manual)</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определять полностью необходимые условия и правила плавания в зоне СУДС;
 правильно использует средства связи с оператором СУДС;
 полностью следует процедуре передачи рапортов оператору СУДС;
 правильно реагирует на команды оператора СУДС, включая контроль разумности этих команд.
Оценка «хорошо» выставляется обучающему, если он:
 проявил способность определять практически полностью необходимые условия и правила плавания в зоне СУДС;
 в целом правильно использует средства связи с оператором СУДС;
 следует процедуре передачи рапортов оператору СУДС в необходимом объеме;
 адекватно реагирует на команды оператора СУДС, включая контроль разумности этих команд.
Оценка «удовлетворительно» выставляется обучающему, если он:
 проявил способность определять основные необходимые условия и правила плавания в зоне СУДС;
 использует средства связи с оператором СУДС в минимально необходимом объеме;
 следует процедуре передачи рапортов оператору СУДС в минимально необходимом объеме;
 адекватно реагирует на команды оператора СУДС, не всегда включая контроль разумности этих команд.
Оценка «неудовлетворительно» выставляется обучающему, если он:
 предпринял действия при плавании, не соответствующие правилам плавания в зоне СУДС;
 не установил нужным образом связь с оператором СУДС;
 не проанализировал должным образом ошибочные команды оператора СУДС, что нарушило условия безопасного плавания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8</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обеспечивать плавание и маневрирование судна в зоне СУДС с соблюдением правил МППСС-72 в различных условиях плавания;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в котором судно существенного тоннажа следует полным передним ходом с открытого моря в порт (например, Новороссийск) в зоне ответственности портовой СУДС. На сцене присутствует некоторое количество судов-целей (варьируется для каждого занятия), опасных и нет. Суда-цели будут использоваться инструктором для создания ситуаций, требующих действий по расхождению судов. По ходу упражнения должны быть использованы правила МППСС-72 для расхождения с судами по необходимости и/или командам оператора СУДС, для этого проигрываться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встречных курсах на виду друг у друга при дневной визуализации;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пересекающихся курсах на виду друг у друга при дневной визуализации. Помеха справа;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пересекающихся курсах на виду друг у друга при дневной визуализации. Помеха слева;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встречных и попутных судов при следовании по фарватеру порта;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обгон судна на виду друг у друга при дневной визуализации; • пересечение потока судов в хорошую видимость;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при плавании в СРД, если сцена имеет таковую.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наличии таких опций у УТК РУТ и тренажера СУДС, рекомендуется выполнение расхождения с опасным судном в ограниченную видимость – смена правил МППСС-72 при смене условий видимости.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прохождении упражнения может быть реализован один из приведенных выше сценариев или несколько последовательно, или одновременно, если позволяет навигационный опыт обучающихся.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к порту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содержит несколько судов-целей, которые становятся опасными по ходу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ухудшение условий видимости (при наличии опции в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плавания в зоне конкретной СУДС, включая управление судами-целями.</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«Руководство по службам движения судов» Международной Ассоциации маячных служб (IALA VTS Manual)</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правила МППСС-72 при расхождении в зоне СУДС как с помощью оператора СУДС, так и без него, применяет в полном соответствии с требованиями правил и хорошей морской практикой;
 процедуры связи с оператором СУДС выполняет безупречно и своевременно;
 команды оператора СУДС, включая контроль разумности этих команд, проанализировал верно;
 маневры судна были рассчитаны им заранее и правильно так, чтобы избегать действий последнего момента.
Оценка «хорошо» выставляется обучающему, если он:
 правила МППСС-72 при расхождении в зоне СУДС с помощью оператора СУДС применяет в целом в соответствии с требованиями правил и хорошей морской практикой;
 процедуры связи с оператором СУДС выполняет корректно и без существенных задержек;
 команды оператора СУДС, включая контроль разумности этих команд, проанализировал достаточно верно;
 маневры судна были им рассчитаны и предприняты так, чтобы действия последнего момента использовались минимально.
Оценка «удовлетворительно» выставляется обучающему, если он:
 правила МППСС-72 при расхождении в зоне СУДС с помощью оператора СУДС применяет без критических нарушений, столкновений судов удалось избежать;
 процедуры связи с оператором СУДС в целом выполняет;  команды оператора СУДС принимает во внимание для решений по собственным маневрам;
 маневры судна были им рассчитаны и предприняты так, что пришлось прибегать к действиям последнего момента.
Оценка «неудовлетворительно» выставляется обучающему, если он:
 предпринимал действия при плавании, не соответствующие правилам плавания в зоне СУДС и МППСС-72;
 связь с оператором СУДС не поддерживал должным образом;
 ошибочные команды оператора не проанализировал должным образом, что нарушило условия безопасного плавания судна.</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правила МППСС-72 при расхождении в зоне СУДС как с помощью оператора СУДС, так и без него, применяет в полном соответствии с требованиями правил и хорошей морской практикой;
 процедуры связи с оператором СУДС выполняет безупречно и своевременно;
 команды оператора СУДС, включая контроль разумности этих команд, проанализировал верно;
 маневры судна были рассчитаны им заранее и правильно так, чтобы избегать действий последнего момента.
Оценка «хорошо» выставляется обучающему, если он:
 правила МППСС-72 при расхождении в зоне СУДС с помощью оператора СУДС применяет в целом в соответствии с требованиями правил и хорошей морской практикой;
 процедуры связи с оператором СУДС выполняет корректно и без существенных задержек;
 команды оператора СУДС, включая контроль разумности этих команд, проанализировал достаточно верно;
 маневры судна были им рассчитаны и предприняты так, чтобы действия последнего момента использовались минимально.
Оценка «удовлетворительно» выставляется обучающему, если он:
 правила МППСС-72 при расхождении в зоне СУДС с помощью оператора СУДС применяет без критических нарушений, столкновений судов удалось избежать;
 процедуры связи с оператором СУДС в целом выполняет;  команды оператора СУДС принимает во внимание для решений по собственным маневрам;
 маневры судна были им рассчитаны и предприняты так, что пришлось прибегать к действиям последнего момента.
Оценка «неудовлетворительно» выставляется обучающему, если он:
 предпринимал действия при плавании, не соответствующие правилам плавания в зоне СУДС и МППСС-72;
 связь с оператором СУДС не поддерживал должным образом;
 ошибочные команды оператора не проанализировал должным образом, что нарушило условия безопасного плавания судна.</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определять полностью необходимые условия и правила плавания в зоне СУДС;  правильно использует средства связи с оператором СУДС;  полностью следует процедуре передачи рапортов оператору СУДС;  правильно реагирует на команды оператора СУДС, включая контроль разумности этих команд. Оценка «хорошо» выставляется обучающему, если он:  проявил способность определять практически полностью необходимые условия и правила плавания в зоне СУДС;  в целом правильно использует средства связи с оператором СУДС;  следует процедуре передачи рапортов оператору СУДС в необходимом объеме;  адекватно реагирует на команды оператора СУДС, включая контроль разумности этих команд. Оценка «удовлетворительно» выставляется обучающему, если он:  проявил способность определять основные необходимые условия и правила плавания в зоне СУДС;  использует средства связи с оператором СУДС в минимально необходимом объеме;  следует процедуре передачи рапортов оператору СУДС в минимально необходимом объеме;  адекватно реагирует на команды оператора СУДС, не всегда включая контроль разумности этих команд. Оценка «неудовлетворительно» выставляется обучающему, если он:  предпринял действия при плавании, не соответствующие правилам плавания в зоне СУДС;  не установил нужным образом связь с оператором СУДС;  не проанализировал должным образом ошибочные команды оператора СУДС, что нарушило условия безопасного плавания судна.</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4553"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777"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0287"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325"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69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06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82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0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06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27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34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25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19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860">
    <w:multiLevelType w:val="hybridMultilevel"/>
    <w:lvl w:ilvl="0" w:tplc="78575374">
      <w:start w:val="1"/>
      <w:numFmt w:val="decimal"/>
      <w:lvlText w:val="%1."/>
      <w:lvlJc w:val="left"/>
      <w:pPr>
        <w:ind w:left="720" w:hanging="360"/>
      </w:pPr>
    </w:lvl>
    <w:lvl w:ilvl="1" w:tplc="78575374" w:tentative="1">
      <w:start w:val="1"/>
      <w:numFmt w:val="lowerLetter"/>
      <w:lvlText w:val="%2."/>
      <w:lvlJc w:val="left"/>
      <w:pPr>
        <w:ind w:left="1440" w:hanging="360"/>
      </w:pPr>
    </w:lvl>
    <w:lvl w:ilvl="2" w:tplc="78575374" w:tentative="1">
      <w:start w:val="1"/>
      <w:numFmt w:val="lowerRoman"/>
      <w:lvlText w:val="%3."/>
      <w:lvlJc w:val="right"/>
      <w:pPr>
        <w:ind w:left="2160" w:hanging="180"/>
      </w:pPr>
    </w:lvl>
    <w:lvl w:ilvl="3" w:tplc="78575374" w:tentative="1">
      <w:start w:val="1"/>
      <w:numFmt w:val="decimal"/>
      <w:lvlText w:val="%4."/>
      <w:lvlJc w:val="left"/>
      <w:pPr>
        <w:ind w:left="2880" w:hanging="360"/>
      </w:pPr>
    </w:lvl>
    <w:lvl w:ilvl="4" w:tplc="78575374" w:tentative="1">
      <w:start w:val="1"/>
      <w:numFmt w:val="lowerLetter"/>
      <w:lvlText w:val="%5."/>
      <w:lvlJc w:val="left"/>
      <w:pPr>
        <w:ind w:left="3600" w:hanging="360"/>
      </w:pPr>
    </w:lvl>
    <w:lvl w:ilvl="5" w:tplc="78575374" w:tentative="1">
      <w:start w:val="1"/>
      <w:numFmt w:val="lowerRoman"/>
      <w:lvlText w:val="%6."/>
      <w:lvlJc w:val="right"/>
      <w:pPr>
        <w:ind w:left="4320" w:hanging="180"/>
      </w:pPr>
    </w:lvl>
    <w:lvl w:ilvl="6" w:tplc="78575374" w:tentative="1">
      <w:start w:val="1"/>
      <w:numFmt w:val="decimal"/>
      <w:lvlText w:val="%7."/>
      <w:lvlJc w:val="left"/>
      <w:pPr>
        <w:ind w:left="5040" w:hanging="360"/>
      </w:pPr>
    </w:lvl>
    <w:lvl w:ilvl="7" w:tplc="78575374" w:tentative="1">
      <w:start w:val="1"/>
      <w:numFmt w:val="lowerLetter"/>
      <w:lvlText w:val="%8."/>
      <w:lvlJc w:val="left"/>
      <w:pPr>
        <w:ind w:left="5760" w:hanging="360"/>
      </w:pPr>
    </w:lvl>
    <w:lvl w:ilvl="8" w:tplc="78575374" w:tentative="1">
      <w:start w:val="1"/>
      <w:numFmt w:val="lowerRoman"/>
      <w:lvlText w:val="%9."/>
      <w:lvlJc w:val="right"/>
      <w:pPr>
        <w:ind w:left="6480" w:hanging="180"/>
      </w:pPr>
    </w:lvl>
  </w:abstractNum>
  <w:abstractNum w:abstractNumId="15859">
    <w:multiLevelType w:val="hybridMultilevel"/>
    <w:lvl w:ilvl="0" w:tplc="1399684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195"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5859">
    <w:abstractNumId w:val="15859"/>
  </w:num>
  <w:num w:numId="15860">
    <w:abstractNumId w:val="15860"/>
  </w:num>
  <w:num w:numId="19195">
    <w:abstractNumId w:val="19195"/>
  </w:num>
  <w:num w:numId="19251">
    <w:abstractNumId w:val="19251"/>
  </w:num>
  <w:num w:numId="22346">
    <w:abstractNumId w:val="22346"/>
  </w:num>
  <w:num w:numId="19276">
    <w:abstractNumId w:val="19276"/>
  </w:num>
  <w:num w:numId="17060">
    <w:abstractNumId w:val="17060"/>
  </w:num>
  <w:num w:numId="3909">
    <w:abstractNumId w:val="3909"/>
  </w:num>
  <w:num w:numId="20828">
    <w:abstractNumId w:val="20828"/>
  </w:num>
  <w:num w:numId="9062">
    <w:abstractNumId w:val="9062"/>
  </w:num>
  <w:num w:numId="11690">
    <w:abstractNumId w:val="11690"/>
  </w:num>
  <w:num w:numId="20325">
    <w:abstractNumId w:val="20325"/>
  </w:num>
  <w:num w:numId="30287">
    <w:abstractNumId w:val="30287"/>
  </w:num>
  <w:num w:numId="14777">
    <w:abstractNumId w:val="14777"/>
  </w:num>
  <w:num w:numId="14553">
    <w:abstractNumId w:val="1455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972770960" Type="http://schemas.openxmlformats.org/officeDocument/2006/relationships/comments" Target="comments.xml"/><Relationship Id="rId58094105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