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Программа подготовки «Инженер-механик внешнего экипажа автономного судна»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Программа подготовки «Инженер-механик внешнего экипажа автономного судна»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подготовки «Инженер-механик внешнего экипажа автономного судна» (далее – Программа) предназначена для повышения квалификации старших механиков морских судов, осуществляющих управление эксплуатацией энергетического оборудования на автономных суднах в составе внешнего экипажа. Необходимость реализации Программы обусловлена тем, что на сегодняшний день наблюдается недостаток соответствующих компетенций, препятствующих развитию автономного судовождения. В результате обучения по Программе будут сформированы компетенции, необходимые для профессиональной деятельности в области автономного судовождения, в том числе обучающиеся способны обеспечивать идентификацию состояния оборудования судов в автономном режиме управления, осуществлять управление силовыми энергетическими установками, применять меры, необходимые для предотвращения причинения повреждений механизмам и системам управления, выполнять план по минимизации киберрисков на борту автономного судна. Практическая направленность Программы позволяет использовать ее для подготовки специалистов в сфере автономного судовождения, в том числе для эффективной и безопасной эксплуатации энергетического оборудования на автономных суднах.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Семина Ирина Викторовна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Федорова Ольга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методическая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Алексеев Виктор Валерьевич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Руководство разработкой ЭУМК, 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Макеева Елена Захаровна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Гринчар Николай Николаевич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Егоров Сергей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Шационок Павел Васильевич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Миронова Екатерина Николаевна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Коккозова Зарема Мавлимбердиевна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Артемовна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Соловьев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17948853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Программа подготовки «Инженер-механик внешнего экипажа автономного судна»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17.107 Механик судовой, утв. приказом Минтруда России №576н от 07.09.2020.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Диплом старшего механика морского судна с главной двигательной установкой от 750 до 3000 кВт – уровень управления или диплом старшего механика морского судна с главной двигательной установкой 3000 кВт и более – уровень управления в зависимости от мощности ГДУ. 
Опыт работы на полуавтономных морских судах 12 месяцев за последние 5 лет или морском судне без требований к автономности не менее трех лет в должности или диплом второго механика морского судна с главной двигательной установкой от 750 до 3000 кВт – уровень управления или диплом второго механика морского судна с главной двигательной установкой 3000 кВт и более – уровень управления в зависимости от мощности ГДУ. 
Опыт работы на полуавтономных морских судах 12 месяцев за последние 5 лет или морском судне без требований к автономности не менее трех лет в должности..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156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20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39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управление силовыми энергетическими установками МАНС с использованием современных автоматизированных комплексов в автономном режиме управления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мониторинга и регистрации параметров СЭУ МАНС. Сбор данных и компьютерная поддержка анализа обстановки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двигатели, системы и механизмы МАНС, принципы управления и контроля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организацию взаимодействия систем программного обеспечения и применения компьютерных моделей в процессе управления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интеллектуальной информационной системы в процессе решения задач управления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интеллектуальных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«человеко-машинных» интерфейсов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вести наблюдение, контролировать и регистрировать рабочие параметры оборудования МАНС с использованием машинного журнала в различных условиях управления и эксплуатации оборудования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процедуры обеспечения проверки (контроля) на основании диагностических признаков оборудования в различных условиях эксплуатации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анализа изменения  контролируемых параметров СЭУ с использование систем искусственного интеллекта в различных условиях эксплуатации оборудования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классификация морских надводных автономных судов (МАНС)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изменения в кодексе торгового мореплавания Российской Федерации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правовые нормы и границы юридической ответственности бортового экипажа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положения в отношении проведения освидетельствований судов / надзору за судами в эксплуатации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выполнять базовые действия по минимизации киберрисков в соответствии с «Планом кибербезопасности» в условиях управления и эксплуатации оборудования МАНС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обеспечения кибербезопасности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планы и процедуры судоходной компании по управлению рисками информационной защиты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процедуры при осуществлении плана кибербезопасности судна и передаче сообщений об инцидентах, связанных с кибербезопасностью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реагировать на киберинциденты в соответствии с принципами кибербезопасности и планом реагирования в условиях управления и эксплуатации оборудования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устранять киберугрозы с помощью базовых действий в условиях управления и эксплуатации оборудования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подготовку, эксплуатацию, обнаружение неисправностей и меры, необходимые для предотвращения причинения повреждений механизмам и системам управления МАНС в соответствии с действующими алгоритмами в условиях эксплуатации автономного судна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обнаружения и идентификации неисправностей судовой энергетической установки в условиях МАНС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анализ видов и последствий отказов элементов судовой энергетической установки в условиях МАНС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осуществления подготовки к эксплуатации и ввода в эксплуатацию главной двигательной установки и систем, её обслуживающих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осуществления подготовки к эксплуатации и ввода в эксплуатацию систем энергообеспечения судна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осуществления подготовки к эксплуатации и ввода в эксплуатацию общесудовых систем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неотложных действий в части управления эксплуатации, в случае аварийной ситуации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действий оживление СЭУ автономного судна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интерпретировать неисправности судовой энергетической установки в соответствии с действующим регламентом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подготовку и ввод в эксплуатацию судовой энергетической установки в соответствии с действующим регламентом  с использованием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неотложные действия в случае возникновения пожара в машинном отделении в соответствии с действующим алгоритмом в условиях использования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процедуры оживление СЭУ после тушения пожара в соответствии с действующим алгоритмом в условиях использования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подготовки,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основы безопасности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средства реального времени, применяемые на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принципы построения берегового оборудования АИС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технико-эксплуатационные требования, предъявляемые к береговому оборудованию АИС, общие требования, нормативные документы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назначение и общие принципы построения морских сетей широкополосного радиодоступа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протоколы предоставления телекоммуникационных услуг между полуавтономным (автономным) судном и ЦДУ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протоколов и сети, конфигурирование сети и управление канальными ресурсами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современных автоматизированных комплексов и средств автоматизации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выбора, обоснования и расчета показателей надежности технических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автоматизации СЭУ, СЭЭС и судовых технических средств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использования современных технологических процессов, цифровых двойников СЭУ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Основы безопасности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основы безопасности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Нормативно-правовые аспекты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Классификация морских надводных автономных судов (МАНС)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классификация морских надводных автономных судов (МАНС).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Изменения в кодексе торгового мореплавания Российской Федерации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изменения в кодексе торгового мореплавания Российской Федерации.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Правовые нормы и границы юридической ответственности бортового экипажа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правовые нормы и границы юридической ответственности бортового экипажа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Основные положения в отношении проведения освидетельствований судов / надзору за судами в эксплуатации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положения в отношении проведения освидетельствований судов / надзору за судами в эксплуатации.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Обслуживание СЭУ МАНС с использованием удалённого (дистанционного)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Правила осуществления подготовки к эксплуатации и ввода в эксплуатацию главной двигательной установки и систем, её обслуживающих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осуществления подготовки к эксплуатации и ввода в эксплуатацию главной двигательной установки и систем, её обслуживающих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подготовку и ввод в эксплуатацию судовой энергетической установки в соответствии с действующим регламентом  с использованием удаленного интерфейса.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подготовки,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Правила осуществления подготовки к эксплуатации и ввода в эксплуатацию систем энергообеспечения судна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осуществления подготовки к эксплуатации и ввода в эксплуатацию систем энергообеспечения судна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подготовку и ввод в эксплуатацию судовой энергетической установки в соответствии с действующим регламентом  с использованием удаленного интерфейса.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подготовки,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Правила осуществления подготовки к эксплуатации и ввода в эксплуатацию общесудовых систем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правила осуществления подготовки к эксплуатации и ввода в эксплуатацию общесудовых систем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осуществлять подготовку и ввод в эксплуатацию судовой энергетической установки в соответствии с действующим регламентом  с использованием удаленного интерфейса.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подготовки,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Информационные потоки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Средства реального времени, применяемые на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средства реального времени, применяемые на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Основные принципы построения берегового оборудования АИС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принципы построения берегового оборудования АИС.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Технико-эксплуатационные требования, предъявляемые к береговому оборудованию АИС, общие требования, нормативные документы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технико-эксплуатационные требования, предъявляемые к береговому оборудованию АИС, общие требования, нормативные документы.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Назначение и общие принципы построения морских сетей широкополосного радиодоступа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назначение и общие принципы построения морских сетей широкополосного радиодоступа.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Протоколы предоставления телекоммуникационных услуг между полуавтономным (автономным) судном и ЦДУ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протоколы предоставления телекоммуникационных услуг между полуавтономным (автономным) судном и ЦДУ.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Архитектура протоколов и сети, конфигурирование сети и управление канальными ресурсами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протоколов и сети, конфигурирование сети и управление канальными ресурсами.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Принципы мониторинга и регистрации параметров СЭУ МАНС. Сбор данных и компьютерная поддержка анализа обстановки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мониторинга и регистрации параметров СЭУ МАНС. Сбор данных и компьютерная поддержка анализа обстановки.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вести наблюдение, контролировать и регистрировать рабочие параметры оборудования МАНС с использованием машинного журнала в различных условиях управления и эксплуатации оборудования МАНС.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анализа изменения  контролируемых параметров СЭУ с использование систем искусственного интеллекта в различных условиях эксплуатации оборудования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Идентификации состояния оборудования МКО автономных судов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Принципы работы современных автоматизированных комплексов и средств автоматизации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работы современных автоматизированных комплексов и средств автоматизации.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Принципы выбора, обоснования и расчета показателей надежности технических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выбора, обоснования и расчета показателей надежности технических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Способы автоматизации СЭУ, СЭЭС и судовых технических средств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автоматизации СЭУ, СЭЭС и судовых технических средств.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5.4 Принципы использования современных технологических процессов, цифровых двойников СЭУ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использования современных технологических процессов, цифровых двойников СЭУ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5.6 Алгоритм неотложных действий в части управления эксплуатации, в случае аварийной ситуации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неотложных действий в части управления эксплуатации, в случае аварийной ситуации.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 Алгоритм действий оживление СЭУ автономного судна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действий оживление СЭУ автономного судна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выполнять процедуры оживление СЭУ после тушения пожара в соответствии с действующим алгоритмом в условиях использования удаленного интерфейса.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5.8 Принципы обнаружения и идентификации неисправностей судовой энергетической установки в условиях МАНС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обнаружения и идентификации неисправностей судовой энергетической установки в условиях МАНС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5.9 Анализ видов и последствий отказов элементов судовой энергетической установки в условиях МАНС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анализ видов и последствий отказов элементов судовой энергетической установки в условиях МАНС с использованием удаленного интерфейса.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интерпретировать неисправности судовой энергетической установки в соответствии с действующим регламентом с использованием удаленного интерфейса.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подготовки,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Кибербезопасность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Методы обеспечения кибербезопасности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обеспечения кибербезопасности.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Планы и процедуры судоходной компании по управлению рисками информационной защиты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планы и процедуры судоходной компании по управлению рисками информационной защиты.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Процедуры при осуществлении плана кибербезопасности судна и передаче сообщений об инцидентах, связанных с кибербезопасностью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процедуры при осуществлении плана кибербезопасности судна и передаче сообщений об инцидентах, связанных с кибербезопасностью.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устранять киберугрозы с помощью базовых действий в условиях управления и эксплуатации оборудования МАНС.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Управление главным и вспомогательными двигателями, системами и механизмами МАНС с использованием удаленного интерфейса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 Двигатели, системы и механизмы МАНС, принципы управления и контроля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двигатели, системы и механизмы МАНС, принципы управления и контроля.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вести наблюдение, контролировать и регистрировать рабочие параметры оборудования МАНС с использованием машинного журнала в различных условиях управления и эксплуатации оборудования МАНС.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анализа изменения  контролируемых параметров СЭУ с использование систем искусственного интеллекта в различных условиях эксплуатации оборудования МАНС.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27.5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27.5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8.1 Организация взаимодействия систем программного обеспечения и применения компьютерных моделей в процессе управления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организацию взаимодействия систем программного обеспечения и применения компьютерных моделей в процессе управления.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8.2 Понятие интеллектуальной информационной системы в процессе решения задач управления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понятие интеллектуальной информационной системы в процессе решения задач управления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8.3 Архитектура интеллектуальных систем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интеллектуальных систем.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8.4 Принципы «человеко-машинных» интерфейсов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«человеко-машинных» интерфейсов.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156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113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Нормативно-правовые аспекты МАНС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Обслуживание СЭУ МАНС с использованием удалённого (дистанционного) интерфейса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Информационные потоки МАНС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14.5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Идентификации состояния оборудования МКО автономных судов с использованием удаленного интерфейса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21.5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Кибербезопасность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13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Управление главным и вспомогательными двигателями, системами и механизмами МАНС с использованием удаленного интерфейса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16.5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27.5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40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156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562.5" w:type="dxa"/>
        <w:gridCol w:w="562.5" w:type="dxa"/>
        <w:gridCol w:w="562.5" w:type="dxa"/>
        <w:gridCol w:w="562.5" w:type="dxa"/>
        <w:gridCol w:w="562.5" w:type="dxa"/>
        <w:gridCol w:w="562.5" w:type="dxa"/>
        <w:gridCol w:w="562.5" w:type="dxa"/>
        <w:gridCol w:w="562.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8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Н6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Н7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Н8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Нормативно-правовые аспекты МАНС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Обслуживание СЭУ МАНС с использованием удалённого (дистанционного) интерфейса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Информационные потоки МАНС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14.5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Идентификации состояния оборудования МКО автономных судов с использованием удаленного интерфейса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20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Кибербезопасность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Управление главным и вспомогательными двигателями, системами и механизмами МАНС с использованием удаленного интерфейса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16.5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16.5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27.5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Итоговая аттестация</w:t>
            </w:r>
          </w:p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</w:tcPr>
          <w:p/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562.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562.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156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Основы безопасности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Нормативно-правовые аспекты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Классификация морских надводных автономных судов (МАНС). Изменения в кодексе торгового мореплавания Российской Федерации. Правовые нормы и границы юридической ответственности бортового экипажа МАНС. Основные положения в отношении проведения освидетельствований судов / надзору за судами в эксплуатации.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Обслуживание СЭУ МАНС с использованием удалённого (дистанционного) интерфейса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Правила осуществления подготовки к эксплуатации и ввода в эксплуатацию главной двигательной установки и систем, её обслуживающих с использованием удаленного интерфейса. Правила осуществления подготовки к эксплуатации и ввода в эксплуатацию систем энергообеспечения судна с использованием удаленного интерфейса. Правила осуществления подготовки к эксплуатации и ввода в эксплуатацию общесудовых систем с использованием удаленного интерфейса.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Информационные потоки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Средства реального времени, применяемые на МАНС. Основные принципы построения берегового оборудования АИС. Технико-эксплуатационные требования, предъявляемые к береговому оборудованию АИС, общие требования, нормативные документы. Назначение и общие принципы построения морских сетей широкополосного радиодоступа. Протоколы предоставления телекоммуникационных услуг между полуавтономным (автономным) судном и ЦДУ. Архитектура протоколов и сети, конфигурирование сети и управление канальными ресурсами. Принципы мониторинга и регистрации параметров СЭУ МАНС. Сбор данных и компьютерная поддержка анализа обстановки.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Идентификации состояния оборудования МКО автономных судов с использованием удаленного интерфейса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Принципы работы современных автоматизированных комплексов и средств автоматизации. Принципы выбора, обоснования и расчета показателей надежности технических систем. Способы автоматизации СЭУ, СЭЭС и судовых технических средств. Принципы использования современных технологических процессов, цифровых двойников СЭУ МАНС. Принципы взаимодействия параметров (контроля) современных технологических процессов систем искусственного интеллекта (ИИ) автономных и полуавтономных судов. Алгоритм неотложных действий в части управления эксплуатации, в случае аварийной ситуации. Алгоритм действий оживление СЭУ автономного судна с использованием удаленного интерфейса. Принципы обнаружения и идентификации неисправностей судовой энергетической установки в условиях МАНС с использованием удаленного интерфейса. Анализ видов и последствий отказов элементов судовой энергетической установки в условиях МАНС с использованием удаленного интерфейса.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Кибербезопасность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Методы обеспечения кибербезопасности. Планы и процедуры судоходной компании по управлению рисками информационной защиты. Процедуры при осуществлении плана кибербезопасности судна и передаче сообщений об инцидентах, связанных с кибербезопасностью.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Управление главным и вспомогательными двигателями, системами и механизмами МАНС с использованием удаленного интерфейса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Двигатели, системы и механизмы МАНС, принципы управления и контроля.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Область применения, принципы построения и перспективы развития, нормативные ссылки, термины и определения, основополагающие принципы структуры цифрового двойника производства включая нейронные сети в области МАНС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Организация взаимодействия систем программного обеспечения и применения компьютерных моделей в процессе управления. Понятие интеллектуальной информационной системы в процессе решения задач управления МАНС. Архитектура интеллектуальных систем. Принципы «человеко-машинных» интерфейсов.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26 июля 2017 г. №187-ФЗ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ГОСТ Р 53564-2009. «Национальный стандарт Российской Федерации.  Контроль состояния и диагностика машин. Мониторинг состояния оборудования опасных производств. Требования к системам мониторинга. Condition monitoring and diagnostics of machines. Hazardous equipment monitoring. Requirements for monitoring systems»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ГОСТ Р ИСО 13372-2013. «Национальный стандарт Российской Федерации. Контроль состояния и диагностика машин. Термины и определения. Mechanical vibration, shock and condition monitoring.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ГОСТ Р ИСО 17359-2015. «Национальный стандарт Российской Федерации. Контроль состояния и диагностика машин. Общее руководство. Condition monitoring and diagnostics of machines. General guidelines»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59276-2020. «Национальный стандарт Российской Федерации. Системы искусственного интеллекта. Способы обеспечения доверия. Общие положения. Artificial intelligence systems. Methods for ensuring trust.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ГОСТ Р 53622-2009. «Национальный стандарт Российской Федерации. Информационные технологии. Информационно-вычислительные системы. Стадии и этапы жизненного цикла, виды и комплектность документов. Information technologies. Information-computing systems. Life cycle stages and steps, kinds and completeness of the documents»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57194.1-2016. «Национальный стандарт Российской Федерации. Трансфер технологий. Общие положения. Technologies transfer.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ГОСТ Р ИСО 9000-2015. «Национальный стандарт Российской Федерации. Системы менеджмента качества. Основные положения и словарь. Quality management systems. Fundamentals and vocabulary»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ГОСТ Р ИСО/МЭК 9126-93 Группа П85. «Государственный стандарт Российской Федерации. Информационная технология. Оценка программной продукции. Характеристики качества и руководства по их применению. Information technology. Software product evaluation. Quality characteristics and guidelines for their use»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ГОСТ Р ИСО/МЭК 12207-2010.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средств. Information technology. System and software engineering. Software life cycle processes»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ГОСТ Р 52931-2008 Группа П01. «Национальный стандарт Российской Федерации. Приборы контроля и регулирования технологических процессов. Общие технические условия. Instruments for process monitoring and control. General specifications»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ГОСТ Р 57700.37-2021. «Национальный стандарт Российской Федерации. Компьютерные модели и моделирование. Цифровые двойники изделий. Общие положения. Computer models and simulation. Digital twins of products. General provisions»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ГОСТ Р 57188-2016. «Национальный стандарт Российской Федерации. Численное моделирование физических процессов. Термины и определения. Numerical modeling of physical processes.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ГОСТ Р 57700.2-2017  Группа П80. «Национальный стандарт Российской Федерации. Численное моделирование для разработки и сдачи в эксплуатацию высокотехнологичных промышленных изделий. Сертификация программного обеспечения. Общие положения. Numerical simulation for the development and commissioning of high-tech industrial products. Software certification. General provisions»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ГОСТ Р 59276-2020. «Национальный стандарт Российской Федерации. Системы искусственного интеллекта. Способы обеспечения доверия. Artificial intelligence systems. Methods for ensuring trust. General»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ГОСТ Р ИСО 11064-3-2015. «Национальный стандарт Российской Федерации. Эргономическое проектирование центров управления Часть 3: Расположение зала управления. Ergonomic design of control centres. Part 3. Control room layout»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ГОСТ 20911-89. «Межгосударственный стандарт. Техническая диагностика.  Термины и определения. Technical diagnostics. Terms and definitions»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ГОСТ 34.602-2020. «Межгосударственный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системы. Information technology. Set of standards for automated systems. Technical assignment for developing of automated system»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ГОСТ 34.601-90 Группа П87. «Межгосударственный стандарт. Информационная технология. Комплекс стандартов на автоматизированные системы. Автоматизированные системы. Стадии создания. Information technology. Set of standards for automated systems. Automated systems. Stages of development»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ГОСТ 14254-2015 (IEC 60529:2013). «Межгосударственный стандарт. Степени защиты, обеспечиваемые оболочками (Код IP). Degrees of protection provided by enclosures (IP Code)»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ГОСТ IEC 60079-17-2013. «Взрывоопасные среды. Часть 17. Проверка и техническое обслуживание электроустановок. Еxplosive atmospheres. Part 17. Electrical installations inspection and maintenance»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ГОСТ 34.601 Группа П87. «Межгосударственный стандарт. Информационная технология. Комплекс стандартов на автоматизированные системы. Автоматизированные системы. Стадии создания. Information technology. Set of standards for automated systems. Automated systems. Stages of development»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Правила классификации и постройки морских судов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НД № 2-030101-009 Руководство по техническому наблюдению за судами в эксплуатации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НД № 2-020101-012 Правила классификационных освидетельствований судов в эксплуатации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Directive 2014/90/EU of the European Parliament and of the Council on marine equipment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НД № 2-030101-037 Положения по классификации морских автономных и дистанционно управляемых судов (МАНС)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Резолюция MSC.428(98) – управление морскими киберрисками в системах управления безопасностью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Международный кодекс по охране судов и портовых средств (Кодекс ОСПС)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Циркуляр MSC-FAL.l/Circ.3 Руководство по управлению киберрисками в морской отрасли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2.31 Астреин В.В., Боран-Кешишьян А.Л. Охрана и безопасность судна. Конспект лекций / Новороссийск: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2.32 Астреин В.В., Боран-Кешишьян А.Л. Охрана и безопасность судна. Практические работы/ Новороссийск: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2.33 НД № 2-030101-040 Руководство по обеспечению кибербезопасности Российского морского регистра судоходства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2.34 Кодекс международных стандартов и рекомендуемой практики расследования аварии или инцидента на море (Кодекс расследования аварий) от 16.05.2008 N MSC.255(84)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2.35 А.Г. Таранин, Тренажёрная подготовка судовых механиков «Тренажёрная подготовка вахтенных механиков с использованием тренажёра МО TRANSAS 5000», Методическое пособие, Федеральное гос. образовательное учреждение высш. проф. образования «Морская гос. акад. имени адмирала Ф. Ф. Ушакова», 2017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2.36 Положение о порядке расследования аварий или инцидентов на море утверждено приказом Министерства транспорта РФ от 08.10.2013г. No308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2.37 Кодекс международных стандартов и рекомендуемой практики расследования аварии или инцидента на море (резолюция MSC.255(84) от 16.05.2008)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2.38 Международный кодекс по системам пожарной безопасности - Резолюция КБМ ИМО 98(73) Обязательный по МК СОЛАС-74 с поправками ., - СПб.: АО «ЦНИИМФ», 2020г. – 200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2.39 Руководство ИМО по разработке судовых планов чрезвычайных мер по борьбе с загрязнением нефтью - Резолюция МЕРС.54(32) с поправками на март 2001 г., - СПб.: ЗАО «ЦНИИМФ», 3-е исправленное и дополненное изд. 2008 г. - 74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2.40 Устав службы на морских судах утвержден приказом Минтранса России от 04.06.2018 N 224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2.41 Устав о дисциплине работников морского транспорта утвержден постановлением Правительства Российской Федерации №395 от 23 мая 2000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2.42 Международный кодекс безопасности судов, использующих газы или иные топлива с низкой температурой вспышки. Резолюция MSC. 391(95)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2.43 Руководство по формальной оценке безопасности (ФОБ) для использования в процессе принятия решений в ИМО. MSC/Circ.1023-MEPC/Circ.392 с поправками (на русском и английском языках). - СПб.: ЗАО «ЦНИИМФ», 2011 г. - 138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2.44 ПНСТ 429-2020 Предварительный национальный стандарт Российской Федерации. Умное производство. Двойники цифровые производства. Часть 1. Общие положения. Smart manufacturing. Digital manufacturing twins. Part 1. General principles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2.45 Проект Федерального закона N 48133-8 «О внесении изменений в Кодекс торгового мореплавания Российской Федерации и отдельные законодательные акты Российской Федерации» (ред., принятая ГД ФС РФ в I чтении 19.04.2022)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2.46 IMO LEG.1/Circ.11 Regulatory scoping exercise and gap analysis of conventions emanating from the legal committee with respect to Maritime Autonomous Surface Ships (MASS) 15 December 2021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2.47 Лебедько Е.Г. Теоретические основы передачи информации. — СПб : Издательство Лань, 2011. — 352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2.48 Руденков Н.А. Основы сетевых технологий [] : учебное пособие / Н.А. Руденков, Л.И. Долинер.. — Екатеринбург : УрФУ, 2011. — 263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2.49 Олифер В.Г., Олифер Н.А. Компьютерные сети. Принципы, технологии, протоколы. — СПб : Питер, 2020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2.50 Остроух А.В. Интеллектуальные системы. — Красноярск : Научно-инновационный центр, 2015. — 110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2.51 Официальный сайт ФАУ «Российский морской регистр судоходства» : https://rs-class.org/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2.52 Официальный сайт Maritime Safety Committee (MSC), 100th session, 3-7 December 2018  : https://www.imo.org/en/MediaCentre/MeetingSummaries/Pages/MSC-100th-session.aspx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2.53 Официальный сайт LR - leading providers of professional services : http://www.lr.org/entities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2.54 Официальный сайт Marine RULES &amp;#38; GUIDELINES : https://marine-offshore.bureauveritas.com/rules-guidelines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2.55 Официальный сайт ABS Advisory on Autonomous Functionality : https://absinfo.eagle.org/acton/media/16130/abs-advisory-on-autonomous-functionality-2021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Программа подготовки «Инженер-механик внешнего экипажа автономного судна»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32">
    <w:multiLevelType w:val="hybridMultilevel"/>
    <w:lvl w:ilvl="0" w:tplc="67997502">
      <w:start w:val="1"/>
      <w:numFmt w:val="decimal"/>
      <w:lvlText w:val="%1."/>
      <w:lvlJc w:val="left"/>
      <w:pPr>
        <w:ind w:left="720" w:hanging="360"/>
      </w:pPr>
    </w:lvl>
    <w:lvl w:ilvl="1" w:tplc="67997502" w:tentative="1">
      <w:start w:val="1"/>
      <w:numFmt w:val="lowerLetter"/>
      <w:lvlText w:val="%2."/>
      <w:lvlJc w:val="left"/>
      <w:pPr>
        <w:ind w:left="1440" w:hanging="360"/>
      </w:pPr>
    </w:lvl>
    <w:lvl w:ilvl="2" w:tplc="67997502" w:tentative="1">
      <w:start w:val="1"/>
      <w:numFmt w:val="lowerRoman"/>
      <w:lvlText w:val="%3."/>
      <w:lvlJc w:val="right"/>
      <w:pPr>
        <w:ind w:left="2160" w:hanging="180"/>
      </w:pPr>
    </w:lvl>
    <w:lvl w:ilvl="3" w:tplc="67997502" w:tentative="1">
      <w:start w:val="1"/>
      <w:numFmt w:val="decimal"/>
      <w:lvlText w:val="%4."/>
      <w:lvlJc w:val="left"/>
      <w:pPr>
        <w:ind w:left="2880" w:hanging="360"/>
      </w:pPr>
    </w:lvl>
    <w:lvl w:ilvl="4" w:tplc="67997502" w:tentative="1">
      <w:start w:val="1"/>
      <w:numFmt w:val="lowerLetter"/>
      <w:lvlText w:val="%5."/>
      <w:lvlJc w:val="left"/>
      <w:pPr>
        <w:ind w:left="3600" w:hanging="360"/>
      </w:pPr>
    </w:lvl>
    <w:lvl w:ilvl="5" w:tplc="67997502" w:tentative="1">
      <w:start w:val="1"/>
      <w:numFmt w:val="lowerRoman"/>
      <w:lvlText w:val="%6."/>
      <w:lvlJc w:val="right"/>
      <w:pPr>
        <w:ind w:left="4320" w:hanging="180"/>
      </w:pPr>
    </w:lvl>
    <w:lvl w:ilvl="6" w:tplc="67997502" w:tentative="1">
      <w:start w:val="1"/>
      <w:numFmt w:val="decimal"/>
      <w:lvlText w:val="%7."/>
      <w:lvlJc w:val="left"/>
      <w:pPr>
        <w:ind w:left="5040" w:hanging="360"/>
      </w:pPr>
    </w:lvl>
    <w:lvl w:ilvl="7" w:tplc="67997502" w:tentative="1">
      <w:start w:val="1"/>
      <w:numFmt w:val="lowerLetter"/>
      <w:lvlText w:val="%8."/>
      <w:lvlJc w:val="left"/>
      <w:pPr>
        <w:ind w:left="5760" w:hanging="360"/>
      </w:pPr>
    </w:lvl>
    <w:lvl w:ilvl="8" w:tplc="679975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31">
    <w:multiLevelType w:val="hybridMultilevel"/>
    <w:lvl w:ilvl="0" w:tplc="1420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3231">
    <w:abstractNumId w:val="13231"/>
  </w:num>
  <w:num w:numId="13232">
    <w:abstractNumId w:val="132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889296036" Type="http://schemas.openxmlformats.org/officeDocument/2006/relationships/comments" Target="comments.xml"/><Relationship Id="rId191415721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