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Практика работы на цифровой логистической платформе</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Практика работы на цифровой логистической платформе</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«Управление подменным парком вагонов и предоставление контейнеров инструментами Цифровой логистической платформы «Вега»» (далее – Программа) предназначена для работников операторов подвижного состава и контейнерного парка, которые будут решать свои профессиональные задачи, используя возможности платформы.
Необходимость реализации Программы обусловлена тем, что при вводе в эксплуатацию Цифровой логистической платформы «Вега» появится потребность в специалистах умеющих полноценно и эффективно использовать все необходимые инструменты платформы для своей профессиональной деятельности.
В результате обучения по Программе будут сформированы компетенции, необходимые для управления подменным парком вагонов и предоставление контейнеров с использованием Цифровой логистической платформы «Вега»
Практическая направленность Программы дает возможность познакомится с инструментами Цифровой логистической платформы и получить умения работы на Цифровой логистической платформе для работников в организациях, которые управляют подменным парком вагонов и предоставлением контейнерами.</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75627641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Практика работы на цифровой логистической платформе</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510B50FA"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${basisText}</w:t>
      </w:r>
    </w:p>
    <w:p w14:paraId="1F141285"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26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4 календарных</w:t>
      </w:r>
      <w:r w:rsidRPr="00B11397">
        <w:rPr>
          <w:spacing w:val="-2"/>
        </w:rPr>
        <w:t xml:space="preserve"> </w:t>
      </w:r>
      <w:r w:rsidRPr="00B11397">
        <w:t>дней для очной формы обучения и 7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решать задачи по управлению подменным парком вагонов и предоставлению контейнеров на Цифровой логистической платформе во взаимодействии с операторами подвижного состава и контейнерного парка</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вагонов 6.2 или 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вагонов 6.2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вагонов  6.1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вагонов 6.3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заказа на предоставление вагонов 6.3.2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вагонов 4.3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подменных вагонов» 10.3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подменных вагонов» 10.3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вагонов по вагонам, взятым в использование» 10.4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вагонов по вагонам, взятым в использование» 10.4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вагонов 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предложения на предоставление вагонов на подходящий по условиям запрос другого оператора 7.3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вагонов 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вагонов 4.1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вагонов 4.3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подменных вагонов» 10.1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вагонов 3,3.1,3.2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вагонов по предоставленным вагонам» 10.2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подменных вагонов» 10.1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вагонов по предоставленным вагонам» 10.2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оформление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контейнеров по контейнерам, взятым в использование»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контейнеров по контейнерам, взятым в использование»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контейнеров по предоставленным контейнерам»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направление предложения на предоставление контейнеров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контейнеров по предоставленным контейнерам»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режима уведомлений    п.2.3.3 Ядро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обращений в службу поддержки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ролевую модель пользователей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деятельности организации, в рамках которых осуществляется работа на Цифровой логической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самостоятельной регистрации нового сотрудника/пользователя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профиля 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пункты меню (режимов) Цифровой логистической платформы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договоров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договоров, регистрируемых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приглашений на регистрацию сотрудникам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заказов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создания Цифровой логистической платформы</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Обзор функциональных возможностей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Цель создания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создания Цифровой логистической платформы.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Виды деятельности организации, в рамках которых осуществляется работа на Цифровой логической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деятельности организации, в рамках которых осуществляется работа на Цифровой логической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Ролевая модель пользователей на Цифровой логистической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ролевую модель пользователей на Цифровой логистической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Порядок настройки профиля пользователя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настройки профиля пользователя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Порядок направления приглашений на регистрацию сотрудникам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приглашений на регистрацию сотрудникам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Порядок самостоятельной регистрации нового сотрудника/пользователя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самостоятельной регистрации нового сотрудника/пользователя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Порядок обращений в службу поддержки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обращений в службу поддержки.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Пункты меню (режимов)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пункты меню (режимов) Цифровой логистической платформы.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Статусная модель договоров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статусную модель договоров.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Типы договоров, регистрируемых на Цифровой логистической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типы договоров, регистрируемых на Цифровой логистической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Статусная модель заказов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статусную модель заказов.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Порядок настройки режима уведомлений    п.2.3.3 Ядро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настройки режима уведомлений    п.2.3.3 Ядро.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Модуль «Управление подменным парком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Порядок регистрации сведений о парке вагонов 3,3.1,3.2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сведений о парке вагонов 3,3.1,3.2.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Форма запроса на предоставление вагонов 6.2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запроса на предоставление вагонов 6.2.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Формирование запроса на предоставление вагонов 6.2 или 6</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запроса на предоставление вагонов 6.2 или 6.</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Порядок работы с ранее размещенными запросами на предоставление вагонов  6.1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запросами на предоставление вагонов  6.1.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Порядок работы с подобранными и полученными предложениями на предоставление вагонов 6.3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подобранными и полученными предложениями на предоставление вагонов 6.3.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Форма заказа на предоставление вагонов 4.3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заказа на предоставление вагонов 4.3.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Порядок оформления заказа на предоставление вагонов 6.3.2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заказа на предоставление вагонов 6.3.2.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Форма отчета «Перечень взятых подменных вагонов» 10.3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взятых подменных вагонов» 10.3.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Формирование отчета «Перечень взятых подменных вагонов» 10.3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взятых подменных вагонов» 10.3.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Форма отчета «Мониторинг соблюдения сроков возврата вагонов по вагонам, взятым в использование» 10.4</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«Мониторинг соблюдения сроков возврата вагонов по вагонам, взятым в использование» 10.4.</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Формирование отчета «Мониторинг соблюдения сроков возврата вагонов по вагонам, взятым в использование» 10.4</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«Мониторинг соблюдения сроков возврата вагонов по вагонам, взятым в использование» 10.4.</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Форма предложения на предоставление вагонов 4.2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предложения на предоставление вагонов 4.2.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Формирование предложения на предоставление вагонов 4.2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предложения на предоставление вагонов 4.2.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Порядок работы с ранее размещенными предложениями на предоставление вагонов 4.1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предложениями на предоставление вагонов 4.1.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Порядок направления предложения на предоставление вагонов на подходящий по условиям запрос другого оператора 7.3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предложения на предоставление вагонов на подходящий по условиям запрос другого оператора 7.3.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Порядок работы с полученными заказами на предоставление вагонов 4.3</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полученными заказами на предоставление вагонов 4.3.</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Порядок согласования и подписания заказа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и подписания заказа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Форма отчета «Перечень предоставленных подменных вагонов» 10.1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предоставленных подменных вагонов» 10.1.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2.19 Формирование отчета «Перечень предоставленных подменных вагонов» 10.1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предоставленных подменных вагонов» 10.1.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2.20 Форма отчета «Мониторинг соблюдения сроков возврата вагонов по предоставленным вагонам» 10.2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«Мониторинг соблюдения сроков возврата вагонов по предоставленным вагонам» 10.2.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2.21 Формирование отчета «Мониторинг соблюдения сроков возврата вагонов по предоставленным вагонам» 10.2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«Мониторинг соблюдения сроков возврата вагонов по предоставленным вагонам» 10.2.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Модуль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Порядок регистрации сведений о парке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сведений о парке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Форма запроса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запроса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Формирование запроса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запроса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работы с ранее размещенными запросами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запросами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Порядок работы с подобранными и полученными предложениями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подобранными и полученными предложениями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Форма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Оформление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оформление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Форма отчета «Перечень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Формирование отчета «Перечень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Форма отчета «Мониторинг соблюдения сроков возврата контейнеров по контейнерам, взятым в использование»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«Мониторинг соблюдения сроков возврата контейнеров по контейнерам, взятым в использование».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Формирование отчета «Мониторинг соблюдения сроков возврата контейнеров по контейнерам, взятым в использование»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«Мониторинг соблюдения сроков возврата контейнеров по контейнерам, взятым в использование».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Форма предложения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предложения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Формирование предложения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предложения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Порядок работы с ранее размещенными предложениями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предложениями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Направление предложения на предоставление контейнеров на подходящий по условиям запрос другого оператора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направление предложения на предоставление контейнеров на подходящий по условиям запрос другого оператора.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Порядок работы с полученными заказами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полученными заказами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Порядок согласования и подписания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и подписания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Форма отчета «Перечень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Формирование отчета «Перечень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3.20 Форма отчета «Мониторинг соблюдения сроков возврата контейнеров по предоставленным контейнерам»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«Мониторинг соблюдения сроков возврата контейнеров по предоставленным контейнерам».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3.21 Формирование отчета «Мониторинг соблюдения сроков возврата контейнеров по предоставленным контейнерам»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«Мониторинг соблюдения сроков возврата контейнеров по предоставленным контейнерам».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10.6</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Обзор функциональных возможностей Цифровой логистической платформы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Модуль «Управление подменным парком вагонов»</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5.4</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9.4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Модуль «Предоставление контейнеров»</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6.6</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9.2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1.4</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1.6</w:t>
            </w:r>
          </w:p>
        </w:tc>
        <w:tc>
          <w:tcPr/>
          <w:p>
            <w:pPr>
              <w:jc w:val="center"/>
              <w:spacing w:after="0"/>
            </w:pPr>
            <w:r>
              <w:rPr>
                <w:rFonts w:ascii="Times New Roman" w:hAnsi="Times New Roman" w:eastAsia="Times New Roman" w:cs="Times New Roman"/>
                <w:color w:val="000000"/>
                <w:sz w:val="24"/>
                <w:szCs w:val="24"/>
                <w:b w:val="1"/>
                <w:bCs w:val="1"/>
              </w:rPr>
              <w:t xml:space="preserve">25.6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Обзор функциональных возможностей Цифровой логистической платформы</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Модуль «Управление подменным парком вагонов»</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1.4</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Модуль «Предоставление контейнеров»</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2.6</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1.6</w:t>
            </w:r>
          </w:p>
        </w:tc>
        <w:tc>
          <w:tcPr/>
          <w:p>
            <w:pPr>
              <w:jc w:val="center"/>
              <w:spacing w:after="0"/>
            </w:pPr>
            <w:r>
              <w:rPr>
                <w:rFonts w:ascii="Times New Roman" w:hAnsi="Times New Roman" w:eastAsia="Times New Roman" w:cs="Times New Roman"/>
                <w:color w:val="000000"/>
                <w:sz w:val="24"/>
                <w:szCs w:val="24"/>
                <w:b w:val="1"/>
                <w:bCs w:val="1"/>
              </w:rPr>
              <w:t xml:space="preserve">25.6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Обзор функциональных возможностей Цифровой логистической платформы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Цель создания Цифровой логистической платформы. Виды деятельности организации, в рамках которых осуществляется работа на Цифровой логической платформе. Ролевая модель пользователей на Цифровой логистической платформе.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 Порядок настройки профиля пользователя организации. Порядок направления приглашений на регистрацию сотрудникам организации. Порядок самостоятельной регистрации нового сотрудника/пользователя организации. Порядок обращений в службу поддержки. Пункты меню (режимов) Цифровой логистической платформы. Статусная модель договоров. Типы договоров, регистрируемых на Цифровой логистической платформе. Статусная модель заказов. Порядок настройки режима уведомлений    п.2.3.3 Ядро.</w:t>
      </w:r>
    </w:p>
    <w:p w14:paraId="04EC11D3" w14:textId="0CC831D6" w:rsidR="007A5D53" w:rsidRPr="00DF73A3" w:rsidRDefault="007A5D53" w:rsidP="00DF73A3">
      <w:pPr>
        <w:pStyle w:val="3"/>
        <w:keepNext/>
        <w:widowControl/>
        <w:ind w:left="0" w:firstLine="709"/>
      </w:pPr>
      <w:r w:rsidRPr="00B11397">
        <w:t>Модуль «Управление подменным парком вагонов»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регистрации сведений о парке вагонов 3,3.1,3.2. Форма запроса на предоставление вагонов 6.2. Формирование запроса на предоставление вагонов 6.2 или 6. Порядок работы с ранее размещенными запросами на предоставление вагонов  6.1. Порядок работы с подобранными и полученными предложениями на предоставление вагонов 6.3. Форма заказа на предоставление вагонов 4.3. Порядок оформления заказа на предоставление вагонов 6.3.2. Форма отчета «Перечень взятых подменных вагонов» 10.3. Формирование отчета «Перечень взятых подменных вагонов» 10.3. Форма отчета «Мониторинг соблюдения сроков возврата вагонов по вагонам, взятым в использование» 10.4. Формирование отчета «Мониторинг соблюдения сроков возврата вагонов по вагонам, взятым в использование» 10.4. Форма предложения на предоставление вагонов 4.2. Формирование предложения на предоставление вагонов 4.2. Порядок работы с ранее размещенными предложениями на предоставление вагонов 4.1. Порядок направления предложения на предоставление вагонов на подходящий по условиям запрос другого оператора 7.3. Порядок работы с полученными заказами на предоставление вагонов 4.3. Порядок согласования и подписания заказа на предоставление вагонов. Форма отчета «Перечень предоставленных подменных вагонов» 10.1. Формирование отчета «Перечень предоставленных подменных вагонов» 10.1. Форма отчета «Мониторинг соблюдения сроков возврата вагонов по предоставленным вагонам» 10.2. Формирование отчета «Мониторинг соблюдения сроков возврата вагонов по предоставленным вагонам» 10.2.</w:t>
      </w:r>
    </w:p>
    <w:p w14:paraId="04EC11D3" w14:textId="0CC831D6" w:rsidR="007A5D53" w:rsidRPr="00DF73A3" w:rsidRDefault="007A5D53" w:rsidP="00DF73A3">
      <w:pPr>
        <w:pStyle w:val="3"/>
        <w:keepNext/>
        <w:widowControl/>
        <w:ind w:left="0" w:firstLine="709"/>
      </w:pPr>
      <w:r w:rsidRPr="00B11397">
        <w:t>Модуль «Предоставление контейнеров»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регистрации сведений о парке контейнеров. Форма запроса на предоставление контейнеров. Формирование запроса на предоставление контейнеров. Порядок работы с ранее размещенными запросами на предоставление контейнеров. Порядок работы с подобранными и полученными предложениями на предоставление контейнеров. Форма заказа на предоставление контейнеров. Оформление заказа на предоставление контейнеров. Форма отчета «Перечень взятых контейнеров». Формирование отчета «Перечень взятых контейнеров». Форма отчета «Мониторинг соблюдения сроков возврата контейнеров по контейнерам, взятым в использование». Формирование отчета «Мониторинг соблюдения сроков возврата контейнеров по контейнерам, взятым в использование». Форма предложения на предоставление контейнеров. Формирование предложения на предоставление контейнеров. Порядок работы с ранее размещенными предложениями на предоставление контейнеров. Направление предложения на предоставление контейнеров на подходящий по условиям запрос другого оператора. Порядок работы с полученными заказами на предоставление контейнеров. Порядок согласования и подписания заказа на предоставление контейнеров. Форма отчета «Перечень предоставленных контейнеров». Формирование отчета «Перечень предоставленных контейнеров». Форма отчета «Мониторинг соблюдения сроков возврата контейнеров по предоставленным контейнерам». Формирование отчета «Мониторинг соблюдения сроков возврата контейнеров по предоставленным контейнерам».</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Цифровая логистическая платформа (ЦЛП). Модуль предоставления контейнеров. Руководство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Цифровая логистическая платформа (ЦЛП). Ядро платформы. Руководство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Цифровая логистическая платформа (ЦЛП). Модуль управления подменным парком вагонов. Руководство пользователя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4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Практика работы на цифровой логистической платформе</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087">
    <w:multiLevelType w:val="hybridMultilevel"/>
    <w:lvl w:ilvl="0" w:tplc="90533761">
      <w:start w:val="1"/>
      <w:numFmt w:val="decimal"/>
      <w:lvlText w:val="%1."/>
      <w:lvlJc w:val="left"/>
      <w:pPr>
        <w:ind w:left="720" w:hanging="360"/>
      </w:pPr>
    </w:lvl>
    <w:lvl w:ilvl="1" w:tplc="90533761" w:tentative="1">
      <w:start w:val="1"/>
      <w:numFmt w:val="lowerLetter"/>
      <w:lvlText w:val="%2."/>
      <w:lvlJc w:val="left"/>
      <w:pPr>
        <w:ind w:left="1440" w:hanging="360"/>
      </w:pPr>
    </w:lvl>
    <w:lvl w:ilvl="2" w:tplc="90533761" w:tentative="1">
      <w:start w:val="1"/>
      <w:numFmt w:val="lowerRoman"/>
      <w:lvlText w:val="%3."/>
      <w:lvlJc w:val="right"/>
      <w:pPr>
        <w:ind w:left="2160" w:hanging="180"/>
      </w:pPr>
    </w:lvl>
    <w:lvl w:ilvl="3" w:tplc="90533761" w:tentative="1">
      <w:start w:val="1"/>
      <w:numFmt w:val="decimal"/>
      <w:lvlText w:val="%4."/>
      <w:lvlJc w:val="left"/>
      <w:pPr>
        <w:ind w:left="2880" w:hanging="360"/>
      </w:pPr>
    </w:lvl>
    <w:lvl w:ilvl="4" w:tplc="90533761" w:tentative="1">
      <w:start w:val="1"/>
      <w:numFmt w:val="lowerLetter"/>
      <w:lvlText w:val="%5."/>
      <w:lvlJc w:val="left"/>
      <w:pPr>
        <w:ind w:left="3600" w:hanging="360"/>
      </w:pPr>
    </w:lvl>
    <w:lvl w:ilvl="5" w:tplc="90533761" w:tentative="1">
      <w:start w:val="1"/>
      <w:numFmt w:val="lowerRoman"/>
      <w:lvlText w:val="%6."/>
      <w:lvlJc w:val="right"/>
      <w:pPr>
        <w:ind w:left="4320" w:hanging="180"/>
      </w:pPr>
    </w:lvl>
    <w:lvl w:ilvl="6" w:tplc="90533761" w:tentative="1">
      <w:start w:val="1"/>
      <w:numFmt w:val="decimal"/>
      <w:lvlText w:val="%7."/>
      <w:lvlJc w:val="left"/>
      <w:pPr>
        <w:ind w:left="5040" w:hanging="360"/>
      </w:pPr>
    </w:lvl>
    <w:lvl w:ilvl="7" w:tplc="90533761" w:tentative="1">
      <w:start w:val="1"/>
      <w:numFmt w:val="lowerLetter"/>
      <w:lvlText w:val="%8."/>
      <w:lvlJc w:val="left"/>
      <w:pPr>
        <w:ind w:left="5760" w:hanging="360"/>
      </w:pPr>
    </w:lvl>
    <w:lvl w:ilvl="8" w:tplc="90533761" w:tentative="1">
      <w:start w:val="1"/>
      <w:numFmt w:val="lowerRoman"/>
      <w:lvlText w:val="%9."/>
      <w:lvlJc w:val="right"/>
      <w:pPr>
        <w:ind w:left="6480" w:hanging="180"/>
      </w:pPr>
    </w:lvl>
  </w:abstractNum>
  <w:abstractNum w:abstractNumId="20086">
    <w:multiLevelType w:val="hybridMultilevel"/>
    <w:lvl w:ilvl="0" w:tplc="584983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0086">
    <w:abstractNumId w:val="20086"/>
  </w:num>
  <w:num w:numId="20087">
    <w:abstractNumId w:val="2008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746781871" Type="http://schemas.openxmlformats.org/officeDocument/2006/relationships/comments" Target="comments.xml"/><Relationship Id="rId84736250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