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2022</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Подходы и современная практика внедрения интеллектуальных транспортных систем</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Подходы и современная практика внедрения интеллектуальных транспортных систем</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«Подходы и современная практика внедрения интеллектуальных транспортных систем» (далее – Программа) предназначена для повышения квалификации работников государственных и муниципальных органов власти, их подведомственных организаций, осуществляющих полномочия в области дорожного хозяйства и транспорта. 
Наблюдается недостаток компетенций, препятствующих созданию автоматизированной системы управления дорожным движением, эффективно решающей проблемы транспортного комплекса. В результате обучения по Программе будут сформированы компетенции, необходимые для профессиональной деятельности в области внедрения эффективной автоматизированной системы управления дорожным движением, в том числе способной обеспечить взаимодействие с высокоавтоматизированными транспортными средствами.
Практическая направленность Программы позволяет использовать 
ее для подготовки специалистов в сфере внедрения интеллектуальных транспортных систем (далее – ИТС), в том числе для эффективной реализации проектов ИТС, исходя из потребностей транспортного комплекса.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педагогических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Головина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Брязгина Екатерина Олеговна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Свистельников Антон Андреевич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методическая поддержка, экспертная поддержка ЭУМК, видеосъемка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Козельский Иван Юрьевич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методическая поддержка, экспертная поддержка ЭУМК, видеосъемка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Соколова Ирина Ивановна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 руководство разработкой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Макеева Елена Захаровна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Гринчар Николай Николаевич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Андрей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Леонова Анна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Костюлин Иван Алексеевич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Боков Константин Андреевич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Рудницкая Анастасия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Егоров Сергей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Шационок Павел Васильевич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Миронова Екатерина Николаевна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 нормоконтроль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Коккозова Зарема Мавлимбердиевна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Ваняшина Любовь Артемовна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Анатолий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342747484"/>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Подходы и современная практика внедрения интеллектуальных транспортных систем</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40.178 Специалист по проектированию автоматизированных систем управления технологическими процессами, утв. приказом Минтруда России от 12.10.2021 № 723н.</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федерального государственного образовательного стандарта среднего профессионального образования 27.02.04 Автоматические системы управления, утв. приказом Минпросвещения России от 19.07.2022 № 633.</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Дополнительные требования отсутствуют.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45607228"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59</w:t>
      </w:r>
      <w:r w:rsidR="003305F7">
        <w:rPr>
          <w:lang w:val="en-US"/>
        </w:rPr>
        <w:t xml:space="preserve"> </w:t>
      </w:r>
      <w:r w:rsidR="00112404">
        <w:rPr>
          <w:lang w:val="en-US"/>
        </w:rPr>
        <w:t>академических </w:t>
      </w:r>
      <w:r w:rsidR="00F84A6F">
        <w:rPr>
          <w:lang w:val="en-US"/>
        </w:rPr>
        <w:t xml:space="preserve"> </w:t>
      </w:r>
      <w:bookmarkStart w:id="17" w:name="_GoBack"/>
      <w:bookmarkEnd w:id="17"/>
      <w:r w:rsidR="00A16C9A" w:rsidRPr="00A16C9A">
        <w:t>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8 календарных</w:t>
      </w:r>
      <w:r w:rsidRPr="00B11397">
        <w:rPr>
          <w:spacing w:val="-2"/>
        </w:rPr>
        <w:t xml:space="preserve"> </w:t>
      </w:r>
      <w:r w:rsidR="00834B6A" w:rsidRPr="00834B6A">
        <w:t>дней</w:t>
      </w:r>
      <w:r w:rsidRPr="00B11397">
        <w:t xml:space="preserve"> для очной формы обучения и 15 календарных</w:t>
      </w:r>
      <w:r w:rsidRPr="00B11397">
        <w:rPr>
          <w:spacing w:val="-2"/>
        </w:rPr>
        <w:t xml:space="preserve"> </w:t>
      </w:r>
      <w:r w:rsidR="00834B6A" w:rsidRPr="00834B6A">
        <w:t>дней</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осуществлять деятельность по реализации  проекта эффективной  интеллектуальной транспортной системы</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показатели, характеризующие степень обоснованности внедрения ИТС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критерии, характеризующие уровень зрелости ИТС на момент разработки локального проекта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показатели, характеризующие ресурсное обеспечение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показатели, характеризующие финансовое обеспечение внедрения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по заполнению пояснительной записки к локальному проекту по созданию (модернизации) интеллектуальных транспортных систем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информации, необходимой для описания финансирования локального проекта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информации об основных показателях локального проекта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паспорта локального проекта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целевых показателей обязательных к заполнению для мониторинга измеримых результатов внедрения ИТС в городских агломерациях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характерные особенности дорожного движения городской агломерации, подлежащие учету при создании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типизированный состав целей и задач, решаемых внедрением ИТС и/или ее элементов в городских агломерациях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типовые функциональные и технологические недостатки существующих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направления развития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приоритетных сервисов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приоритетных подсистем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рекомендации по выбору технологии управления дорожным движением в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рекомендации по организации мониторинга параметров транспортных потоков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рекомендации по организации метеомониторинга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рекомендации по организации приоритетного проезда общественного транспорта в городских агломерациях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рекомендации по организации видеонаблюдения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рекомендации по организации подсистемы диспетчеризации управления службы содержания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обеспечение информационной безопасности и надежности функционирования ИТС городской агломерации и входящих в ее состав технологических элементов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к регламентам эксплуатации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финансово-экономического обоснования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критерии классификации по уровню зрелости интеллектуальных транспортных систем в городских агломерациях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содержанию эскизного и технического проекта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параметры, характеризующие дорожное движение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уровни обслуживания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параметры эффективности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порядка мониторинга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обследования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формат передачи отчетных данных обследования интенсивности движения транспортных средств на пересечении, с применением стационарных постов учета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формат передачи отчетных данных обследования интенсивности движения пешеходов на переходе, с применением стационарных постов учета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формат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формат передачи отчетных данных обследования с применением контрольных транспортных средств по каждому опорному участку, суточная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учета интенсивности и состава движения транспортных средств, интенсивности движения пешеходов на переходе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учета параметров дорожного движения на опорном участке дороги при обследовании с применением контрольных 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учета параметров дорожного движения на дороге при обследовании с применением контрольных 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последовательность разработки функциональной архитектуры локального проекта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последовательность разработки физической архитектуры локального проекта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физической архитектуры локального проекта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функциональной архитектуре локального проекта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техническое задание на разработку технического (технорабочего) проекта по созданию интеллектуальных транспортных систем субъектового уровня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жизненный цикл локального проекта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этапы обоснования локального проекта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интеграционной платформы локального проекта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интеграционной платформы локального проекта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типы подсистем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классификацию элементов подсистем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анализу исходной документации для актуализации структуры (банка) подсистем и элементов подсистем ИТС, внедряемых на федеральных автомобильных дорогах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актуализации структуры (банка) подсистем и элементов подсистем ИТС,  внедряемых на федеральных автомобильных дорогах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классификацию субъектов на этапе обоснования проектов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формированию архитектуры индикаторов  эффективности, используемой при обосновании ЛП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составу целевых индикаторов эффективности, используемых для обоснования ЛП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составу функциональных индикаторов эффективности, используемых для обоснования ЛП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единицы измерения индикаторов эффективности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проведению оценки изменения индикаторов эффективности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архитектуре индикаторов эффективности,  используемой для обоснования проектов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архитектуры индикаторов эффективности  государственной группы пользователей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архитектуры индикаторов эффективности  социальной группы пользователей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архитектуры индикаторов эффективности коммерческой группы пользователей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этапы формирования исходных данных в рамках обоснования проектов ИТС  на федеральных автомобильных дорогах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формирования исходных данных в рамках обоснования проектов ИТС  на федеральных автомобильных дорогах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обзора и анализа текущей проблемы на рассматриваемом участке сети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структуры исходных данных для сети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схему методики формирования исходных данных для реальной сети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набор данных, необходимых для создания имитационной  модели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программам имитационного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оценки точности имитационной модели участка сети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банк комплексных подсистем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банк инструментальных подсистем ИТС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понятия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технологий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элементов технического, программного и информационного обеспечения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по разработке и функционированию интеллектуальной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свойств и показателей интеллектуальной транспортной системы</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технического (технорабочего) проекта по созданию интеллектуальных транспортных систем субъектового уровня, с учетом возможности развития элементов ИТС, направленных на адаптивное светофорное управление в целях обеспечения движения (В/01.6)</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определить функциональный состав интеллектуальной транспортной системы с учетом оценки индикаторов эффективности ИТС (В/02.6)</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Основные параметры дорожного движения и порядок их мониторинга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Основные параметры, характеризующие дорожное движение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параметры, характеризующие дорожное движение.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Уровни обслуживания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уровни обслуживания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Параметры эффективности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параметры эффективности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Общие положения порядка мониторинга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порядка мониторинга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Порядок проведения обследования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проведения обследования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Формат передачи отчетных данных обследования интенсивности движения транспортных средств на пересечении, с применением стационарных постов учета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формат передачи отчетных данных обследования интенсивности движения транспортных средств на пересечении, с применением стационарных постов учета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 Формат передачи отчетных данных обследования интенсивности движения пешеходов на переходе, с применением стационарных постов учета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формат передачи отчетных данных обследования интенсивности движения пешеходов на переходе, с применением стационарных постов учета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1.8 Формат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формат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1.9 Формат передачи отчетных данных обследования с применением контрольных транспортных средств по каждому опорному участку, суточная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формат передачи отчетных данных обследования с применением контрольных транспортных средств по каждому опорному участку, суточная.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1.10 Форма учета интенсивности и состава движения транспортных средств, интенсивности движения пешеходов на переходе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учета интенсивности и состава движения транспортных средств, интенсивности движения пешеходов на переходе.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 Форма учета параметров дорожного движения на опорном участке дороги при обследовании с применением контрольных 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учета параметров дорожного движения на опорном участке дороги при обследовании с применением контрольных 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1.12 Форма учета параметров дорожного движения на дороге при обследовании с применением контрольных 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учета параметров дорожного движения на дороге при обследовании с применением контрольных 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Основные понятия в области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Общие понятия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понятия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Основные понятия технологий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технологий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Основные понятия элементов технического, программного и информационного обеспечения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элементов технического, программного и информационного обеспечения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Основные понятия свойств и показателей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свойств и показателей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Основные понятия по разработке и функционированию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по разработке и функционированию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Подсистемы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Типы подсистем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типы подсистем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Классификация элементов подсистем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классификацию элементов подсистем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Требования к анализу исходной документации для актуализации структуры (банка) подсистем и элементов подсистем ИТС, внедряемых на федеральных автомобильных дорогах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анализу исходной документации для актуализации структуры (банка) подсистем и элементов подсистем ИТС, внедряемых на федеральных автомобильных дорогах.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Требования к актуализации структуры (банка) подсистем и элементов подсистем ИТС,  внедряемых на федеральных автомобильных дорогах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актуализации структуры (банка) подсистем и элементов подсистем ИТС,  внедряемых на федеральных автомобильных дорогах.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Банк комплексных подсистем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банк комплексных подсистем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Банк инструментальных подсистем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банк инструментальных подсистем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Методология создания (модернизации)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32.7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Критерии, характеризующие уровень зрелости ИТС на момент разработки локального проекта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критерии, характеризующие уровень зрелости ИТС на момент разработки локального проекта.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Показатели, характеризующие степень обоснованности внедрения ИТС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показатели, характеризующие степень обоснованности внедрения ИТС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Показатели, характеризующие ресурсное обеспечение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показатели, характеризующие ресурсное обеспечение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Показатели, характеризующие финансовое обеспечение внедрения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показатели, характеризующие финансовое обеспечение внедрения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Требования по заполнению пояснительной записки к локальному проекту по созданию (модернизации) интеллектуальных транспортных систем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по заполнению пояснительной записки к локальному проекту по созданию (модернизации) интеллектуальных транспортных систем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Структура информации об основных показателях локального проекта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информации об основных показателях локального проекта.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Форма паспорта локального проекта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паспорта локального проекта.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Перечень целевых показателей обязательных к заполнению для мониторинга измеримых результатов внедрения ИТС в городских агломерациях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целевых показателей обязательных к заполнению для мониторинга измеримых результатов внедрения ИТС в городских агломерациях.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Характерные особенности дорожного движения городской агломерации, подлежащие учету при создании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характерные особенности дорожного движения городской агломерации, подлежащие учету при создании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 Типизированный состав целей и задач, решаемых внедрением ИТС и/или ее элементов в городских агломерациях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типизированный состав целей и задач, решаемых внедрением ИТС и/или ее элементов в городских агломерациях.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 Типовые функциональные и технологические недостатки существующих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типовые функциональные и технологические недостатки существующих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 Направления развития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направления развития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 Порядок определения приоритетных сервисов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определения приоритетных сервисов.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4.14 Порядок определения приоритетных подсистем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определения приоритетных подсистем.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4.15 Рекомендации по выбору технологии управления дорожным движением в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рекомендации по выбору технологии управления дорожным движением в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4.16 Рекомендации по организации мониторинга параметров транспортных потоков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рекомендации по организации мониторинга параметров транспортных потоков.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4.17 Рекомендации по организации метеомониторинга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рекомендации по организации метеомониторинга.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4.18 Рекомендации по организации приоритетного проезда общественного транспорта в городских агломерациях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рекомендации по организации приоритетного проезда общественного транспорта в городских агломерациях.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4.19 Рекомендации по организации видеонаблюдения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рекомендации по организации видеонаблюдения.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4.20 Рекомендации по организации подсистемы диспетчеризации управления службы содержания дорог</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рекомендации по организации подсистемы диспетчеризации управления службы содержания дорог.</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4.21 Обеспечение информационной безопасности и надежности функционирования ИТС городской агломерации и входящих в ее состав технологических элементов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обеспечение информационной безопасности и надежности функционирования ИТС городской агломерации и входящих в ее состав технологических элементов.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4.22 Основные требования к регламентам эксплуатации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требования к регламентам эксплуатации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4.23 Форма финансово-экономического обоснования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финансово-экономического обоснования.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4.24 Критерии классификации по уровню зрелости интеллектуальных транспортных систем в городских агломерациях субъектов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критерии классификации по уровню зрелости интеллектуальных транспортных систем в городских агломерациях субъектов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4.25 Требования к содержанию эскизного и технического проекта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содержанию эскизного и технического проекта.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4.26 Жизненный цикл локального проекта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жизненный цикл локального проекта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4.27 Этапы обоснования локального проекта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этапы обоснования локального проекта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4.28 Функции интеграционной платформы локального проекта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интеграционной платформы локального проекта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4.29 Задачи интеграционной платформы локального проекта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задачи интеграционной платформы локального проекта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4.30 Классификация субъектов на этапе обоснования проектов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классификацию субъектов на этапе обоснования проектов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4.31 Этапы формирования исходных данных в рамках обоснования проектов ИТС  на федеральных автомобильных дорогах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этапы формирования исходных данных в рамках обоснования проектов ИТС  на федеральных автомобильных дорогах.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4.32 Структура формирования исходных данных в рамках обоснования проектов ИТС  на федеральных автомобильных дорогах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формирования исходных данных в рамках обоснования проектов ИТС  на федеральных автомобильных дорогах.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4.33 Порядок обзора и анализа текущей проблемы на рассматриваемом участке сети дорог</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обзора и анализа текущей проблемы на рассматриваемом участке сети дорог.</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4.34 Формирование структуры исходных данных для сети дорог</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структуры исходных данных для сети дорог.</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4.35 Схема методики формирования исходных данных для реальной сети дорог</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схему методики формирования исходных данных для реальной сети дорог.</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4.36 Набор данных, необходимых для создания имитационной  модели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набор данных, необходимых для создания имитационной  модели.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4.37 Требования к программам имитационного моделирования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программам имитационного моделирования.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4.38 Способы оценки точности имитационной модели участка сети дорог</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способы оценки точности имитационной модели участка сети дорог.</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4.39 Последовательность разработки функциональной архитектуры локального проекта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последовательность разработки функциональной архитектуры локального проекта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4.40 Последовательность разработки физической архитектуры локального проекта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последовательность разработки физической архитектуры локального проекта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4.41 Требования к функциональной архитектуре локального проекта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функциональной архитектуре локального проекта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4.42 Требования физической архитектуры локального проекта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физической архитектуры локального проекта интеллектуальной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4.43 Перечень информации, необходимой для описания финансирования локального проекта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информации, необходимой для описания финансирования локального проекта.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4.44 Техническое задание на разработку технического (технорабочего) проекта по созданию интеллектуальных транспортных систем субъектового уровня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техническое задание на разработку технического (технорабочего) проекта по созданию интеллектуальных транспортных систем субъектового уровня.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техническое задание на разработку технического (технорабочего) проекта по созданию интеллектуальных транспортных систем субъектового уровня, с учетом возможности развития элементов ИТС, направленных на адаптивное светофорное управление в целях обеспечения движения (В/01.6).</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Архитектура индикаторов эффективности интеллектуальной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Требования к формированию архитектуры индикаторов  эффективности, используемой при обосновании ЛП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формированию архитектуры индикаторов  эффективности, используемой при обосновании ЛП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Требования к составу целевых индикаторов эффективности, используемых для обоснования ЛП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составу целевых индикаторов эффективности, используемых для обоснования ЛП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Требования к составу функциональных индикаторов эффективности, используемых для обоснования ЛП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составу функциональных индикаторов эффективности, используемых для обоснования ЛП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Единицы измерения индикаторов эффективности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единицы измерения индикаторов эффективности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5.5 Требования к проведению оценки изменения индикаторов эффективности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проведению оценки изменения индикаторов эффективности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5.6 Требования к архитектуре индикаторов эффективности,  используемой для обоснования проектов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архитектуре индикаторов эффективности,  используемой для обоснования проектов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5.7 Формирование архитектуры индикаторов эффективности  государственной группы пользователей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архитектуры индикаторов эффективности  государственной группы пользователей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определить функциональный состав интеллектуальной транспортной системы с учетом оценки индикаторов эффективности ИТС (В/02.6).</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5.8 Формирование архитектуры индикаторов эффективности  социальной группы пользователей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архитектуры индикаторов эффективности  социальной группы пользователей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определить функциональный состав интеллектуальной транспортной системы с учетом оценки индикаторов эффективности ИТС (В/02.6).</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5.9 Формирование архитектуры индикаторов эффективности коммерческой группы пользователей ИТС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архитектуры индикаторов эффективности коммерческой группы пользователей ИТС.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определить функциональный состав интеллектуальной транспортной системы с учетом оценки индикаторов эффективности ИТС (В/02.6).</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59</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40</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562.5" w:type="dxa"/>
        <w:gridCol w:w="562.5" w:type="dxa"/>
        <w:gridCol w:w="562.5" w:type="dxa"/>
        <w:gridCol w:w="562.5" w:type="dxa"/>
        <w:gridCol w:w="562.5" w:type="dxa"/>
        <w:gridCol w:w="562.5" w:type="dxa"/>
        <w:gridCol w:w="562.5" w:type="dxa"/>
        <w:gridCol w:w="562.5"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8"/>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Д8</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Основные параметры дорожного движения и порядок их мониторинга</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Основные понятия в области интеллектуальной транспортной системы</w:t>
            </w: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2.6</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2.6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Подсистемы интеллектуальной транспортной системы</w:t>
            </w: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4.9</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1.5</w:t>
            </w: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6.4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Методология создания (модернизации) интеллектуальной транспортной системы</w:t>
            </w: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6.5</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2.2</w:t>
            </w: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32.7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Архитектура индикаторов эффективности интеллектуальной транспортной системы</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5.8</w:t>
            </w: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5.8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 в форме зачета</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3</w:t>
            </w:r>
          </w:p>
        </w:tc>
        <w:tc>
          <w:tcPr/>
          <w:p>
            <w:pPr>
              <w:jc w:val="center"/>
              <w:spacing w:after="0"/>
            </w:pPr>
            <w:r>
              <w:rPr>
                <w:rFonts w:ascii="Times New Roman" w:hAnsi="Times New Roman" w:eastAsia="Times New Roman" w:cs="Times New Roman"/>
                <w:color w:val="000000"/>
                <w:sz w:val="24"/>
                <w:szCs w:val="24"/>
                <w:b w:val="1"/>
                <w:bCs w:val="1"/>
              </w:rPr>
              <w:t xml:space="preserve">59</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500" w:type="dxa"/>
        <w:gridCol w:w="1500" w:type="dxa"/>
        <w:gridCol w:w="1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3"/>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Основные параметры дорожного движения и порядок их мониторинга</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8.5</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Основные понятия в области интеллектуальной транспортной системы</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2.6</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2.6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Подсистемы интеллектуальной транспортной системы</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6.4</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6.4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Методология создания (модернизации) интеллектуальной транспортной системы</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2.5</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10.2</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32.7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Архитектура индикаторов эффективности интеллектуальной транспортной системы</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5.8</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5.8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 в форме зачета</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19</w:t>
            </w:r>
          </w:p>
        </w:tc>
        <w:tc>
          <w:tcPr/>
          <w:p>
            <w:pPr>
              <w:jc w:val="center"/>
              <w:spacing w:after="0"/>
            </w:pPr>
            <w:r>
              <w:rPr>
                <w:rFonts w:ascii="Times New Roman" w:hAnsi="Times New Roman" w:eastAsia="Times New Roman" w:cs="Times New Roman"/>
                <w:color w:val="000000"/>
                <w:sz w:val="24"/>
                <w:szCs w:val="24"/>
                <w:b w:val="1"/>
                <w:bCs w:val="1"/>
              </w:rPr>
              <w:t xml:space="preserve">59</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Основные параметры дорожного движения и порядок их мониторинга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параметры, характеризующие дорожное движение. Уровни обслуживания дорожного движения. Параметры эффективности дорожного движения. Общие положения порядка мониторинга дорожного движения. Порядок проведения обследования дорожного движения. Формат передачи отчетных данных обследования интенсивности движения транспортных средств на пересечении, с применением стационарных постов учета движения. Формат передачи отчетных данных обследования интенсивности движения пешеходов на переходе, с применением стационарных постов учета движения. Формат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 Формат передачи отчетных данных обследования с применением контрольных транспортных средств по каждому опорному участку, суточная. Форма учета интенсивности и состава движения транспортных средств, интенсивности движения пешеходов на переходе. Форма учета параметров дорожного движения на опорном участке дороги при обследовании с применением контрольных транспортных средств. Форма учета параметров дорожного движения на дороге при обследовании с применением контрольных транспортных средств.</w:t>
      </w:r>
    </w:p>
    <w:p w14:paraId="04EC11D3" w14:textId="0CC831D6" w:rsidR="007A5D53" w:rsidRPr="00DF73A3" w:rsidRDefault="007A5D53" w:rsidP="00DF73A3">
      <w:pPr>
        <w:pStyle w:val="3"/>
        <w:keepNext/>
        <w:widowControl/>
        <w:ind w:left="0" w:firstLine="709"/>
      </w:pPr>
      <w:r w:rsidRPr="00B11397">
        <w:t>Основные понятия в области интеллектуальной транспортной системы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понятия интеллектуальной транспортной системы. Основные понятия технологий интеллектуальной транспортной системы. Основные понятия элементов технического, программного и информационного обеспечения интеллектуальной транспортной системы. Основные понятия свойств и показателей интеллектуальной транспортной системы. Основные понятия по разработке и функционированию интеллектуальной транспортной системы.</w:t>
      </w:r>
    </w:p>
    <w:p w14:paraId="04EC11D3" w14:textId="0CC831D6" w:rsidR="007A5D53" w:rsidRPr="00DF73A3" w:rsidRDefault="007A5D53" w:rsidP="00DF73A3">
      <w:pPr>
        <w:pStyle w:val="3"/>
        <w:keepNext/>
        <w:widowControl/>
        <w:ind w:left="0" w:firstLine="709"/>
      </w:pPr>
      <w:r w:rsidRPr="00B11397">
        <w:t>Подсистемы интеллектуальной транспортной системы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Типы подсистем интеллектуальной транспортной системы. Классификация элементов подсистем интеллектуальной транспортной системы. Требования к анализу исходной документации для актуализации структуры (банка) подсистем и элементов подсистем ИТС, внедряемых на федеральных автомобильных дорогах. Требования к актуализации структуры (банка) подсистем и элементов подсистем ИТС,  внедряемых на федеральных автомобильных дорогах. Банк комплексных подсистем ИТС. Банк инструментальных подсистем ИТС.</w:t>
      </w:r>
    </w:p>
    <w:p w14:paraId="04EC11D3" w14:textId="0CC831D6" w:rsidR="007A5D53" w:rsidRPr="00DF73A3" w:rsidRDefault="007A5D53" w:rsidP="00DF73A3">
      <w:pPr>
        <w:pStyle w:val="3"/>
        <w:keepNext/>
        <w:widowControl/>
        <w:ind w:left="0" w:firstLine="709"/>
      </w:pPr>
      <w:r w:rsidRPr="00B11397">
        <w:t>Методология создания (модернизации) интеллектуальной транспортной системы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Критерии, характеризующие уровень зрелости ИТС на момент разработки локального проекта. Показатели, характеризующие степень обоснованности внедрения ИТС городской агломерации. Показатели, характеризующие ресурсное обеспечение ИТС. Показатели, характеризующие финансовое обеспечение внедрения ИТС. Требования по заполнению пояснительной записки к локальному проекту по созданию (модернизации) интеллектуальных транспортных систем городской агломерации. Структура информации об основных показателях локального проекта. Форма паспорта локального проекта. Перечень целевых показателей обязательных к заполнению для мониторинга измеримых результатов внедрения ИТС в городских агломерациях. Характерные особенности дорожного движения городской агломерации, подлежащие учету при создании ИТС. Типизированный состав целей и задач, решаемых внедрением ИТС и/или ее элементов в городских агломерациях. Типовые функциональные и технологические недостатки существующих ИТС. Направления развития ИТС. Порядок определения приоритетных сервисов. Порядок определения приоритетных подсистем. Рекомендации по выбору технологии управления дорожным движением в городской агломерации. Рекомендации по организации мониторинга параметров транспортных потоков. Рекомендации по организации метеомониторинга. Рекомендации по организации приоритетного проезда общественного транспорта в городских агломерациях. Рекомендации по организации видеонаблюдения. Рекомендации по организации подсистемы диспетчеризации управления службы содержания дорог. Обеспечение информационной безопасности и надежности функционирования ИТС городской агломерации и входящих в ее состав технологических элементов. Основные требования к регламентам эксплуатации ИТС. Форма финансово-экономического обоснования. Критерии классификации по уровню зрелости интеллектуальных транспортных систем в городских агломерациях субъектов российской федерации. Требования к содержанию эскизного и технического проекта. Жизненный цикл локального проекта интеллектуальной транспортной системы. Этапы обоснования локального проекта интеллектуальной транспортной системы. Функции интеграционной платформы локального проекта интеллектуальной транспортной системы. Задачи интеграционной платформы локального проекта интеллектуальной транспортной системы. Классификация субъектов на этапе обоснования проектов ИТС. Этапы формирования исходных данных в рамках обоснования проектов ИТС  на федеральных автомобильных дорогах. Структура формирования исходных данных в рамках обоснования проектов ИТС  на федеральных автомобильных дорогах. Порядок обзора и анализа текущей проблемы на рассматриваемом участке сети дорог. Формирование структуры исходных данных для сети дорог. Схема методики формирования исходных данных для реальной сети дорог. Набор данных, необходимых для создания имитационной  модели. Требования к программам имитационного моделирования. Способы оценки точности имитационной модели участка сети дорог. Последовательность разработки функциональной архитектуры локального проекта интеллектуальной транспортной системы. Последовательность разработки физической архитектуры локального проекта интеллектуальной транспортной системы. Требования к функциональной архитектуре локального проекта интеллектуальной транспортной системы. Требования физической архитектуры локального проекта интеллектуальной транспортной системы. Перечень информации, необходимой для описания финансирования локального проекта. Техническое задание на разработку технического (технорабочего) проекта по созданию интеллектуальных транспортных систем субъектового уровня.</w:t>
      </w:r>
    </w:p>
    <w:p w14:paraId="04EC11D3" w14:textId="0CC831D6" w:rsidR="007A5D53" w:rsidRPr="00DF73A3" w:rsidRDefault="007A5D53" w:rsidP="00DF73A3">
      <w:pPr>
        <w:pStyle w:val="3"/>
        <w:keepNext/>
        <w:widowControl/>
        <w:ind w:left="0" w:firstLine="709"/>
      </w:pPr>
      <w:r w:rsidRPr="00B11397">
        <w:t>Архитектура индикаторов эффективности интеллектуальной транспортной системы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Требования к формированию архитектуры индикаторов  эффективности, используемой при обосновании ЛП ИТС. Требования к составу целевых индикаторов эффективности, используемых для обоснования ЛП ИТС. Требования к составу функциональных индикаторов эффективности, используемых для обоснования ЛП ИТС. Единицы измерения индикаторов эффективности ИТС. Требования к проведению оценки изменения индикаторов эффективности ИТС. Требования к архитектуре индикаторов эффективности,  используемой для обоснования проектов ИТС. Формирование архитектуры индикаторов эффективности  государственной группы пользователей ИТС. Формирование архитектуры индикаторов эффективности  социальной группы пользователей ИТС. Формирование архитектуры индикаторов эффективности коммерческой группы пользователей ИТС.</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Постановление Правительства Российской Федерации от 16 ноября 2018 г. № 1379  «Об утверждении Правил определения основных параметров дорожного движения и ведения их учета»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Приказ Минтранса России от 18 апреля 2019 г. № 114 «Об утверждении Порядка мониторинга дорожного движения (с изменениями и дополнениями)»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Распоряжение Минтранса России от 21 марта 2022 г. № АК-74-р «Об утверждении Методических рекомендаций по разработке заявок (включая локальные проекты по созданию и модернизации интеллектуальных транспортных систем)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в рамках федерального проекта «Общесистемные меры развития дорожного хозяйства» государственной программы Российской Федерации «Развитие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ГОСТ Р 56294-2014. «Интеллектуальные транспортные системы. Требования к функциональной и физической архитектурам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ГОСТ Р 56829-2015. «Интеллектуальные транспортные системы. Термины и определения»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ОДМ 218.9.011-2016. Отраслевой дорожный методический документ. «Рекомендации по выполнению обоснования интеллектуальных транспортных систем». Издан на основании распоряжения Федерального дорожного агентства от 2016-04-25 г. № 632</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2</w:t>
      </w:r>
      <w:r w:rsidR="00F50BC8" w:rsidRPr="00834B6A">
        <w:rPr>
          <w:sz w:val="28"/>
          <w:szCs w:val="22"/>
          <w:lang w:eastAsia="en-US"/>
        </w:rPr>
        <w:t xml:space="preserve"> (из 2)</w:t>
      </w:r>
      <w:r w:rsidR="007A5D53" w:rsidRPr="00B11397">
        <w:rPr>
          <w:sz w:val="28"/>
          <w:szCs w:val="22"/>
          <w:lang w:eastAsia="en-US"/>
        </w:rPr>
        <w:t xml:space="preserve">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44612" w14:textId="77777777" w:rsidR="00E51FA5" w:rsidRDefault="00E51FA5">
      <w:r>
        <w:separator/>
      </w:r>
    </w:p>
  </w:endnote>
  <w:endnote w:type="continuationSeparator" w:id="0">
    <w:p w14:paraId="0875C53A" w14:textId="77777777" w:rsidR="00E51FA5" w:rsidRDefault="00E51FA5">
      <w:r>
        <w:continuationSeparator/>
      </w:r>
    </w:p>
  </w:endnote>
  <w:endnote w:type="continuationNotice" w:id="1">
    <w:p w14:paraId="31B60160" w14:textId="77777777" w:rsidR="00E51FA5" w:rsidRDefault="00E51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F84A6F">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06143" w14:textId="77777777" w:rsidR="00E51FA5" w:rsidRDefault="00E51FA5">
      <w:r>
        <w:separator/>
      </w:r>
    </w:p>
  </w:footnote>
  <w:footnote w:type="continuationSeparator" w:id="0">
    <w:p w14:paraId="5142F49E" w14:textId="77777777" w:rsidR="00E51FA5" w:rsidRDefault="00E51FA5">
      <w:r>
        <w:continuationSeparator/>
      </w:r>
    </w:p>
  </w:footnote>
  <w:footnote w:type="continuationNotice" w:id="1">
    <w:p w14:paraId="2E876464" w14:textId="77777777" w:rsidR="00E51FA5" w:rsidRDefault="00E51F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818">
    <w:multiLevelType w:val="hybridMultilevel"/>
    <w:lvl w:ilvl="0" w:tplc="28463315">
      <w:start w:val="1"/>
      <w:numFmt w:val="decimal"/>
      <w:lvlText w:val="%1."/>
      <w:lvlJc w:val="left"/>
      <w:pPr>
        <w:ind w:left="720" w:hanging="360"/>
      </w:pPr>
    </w:lvl>
    <w:lvl w:ilvl="1" w:tplc="28463315" w:tentative="1">
      <w:start w:val="1"/>
      <w:numFmt w:val="lowerLetter"/>
      <w:lvlText w:val="%2."/>
      <w:lvlJc w:val="left"/>
      <w:pPr>
        <w:ind w:left="1440" w:hanging="360"/>
      </w:pPr>
    </w:lvl>
    <w:lvl w:ilvl="2" w:tplc="28463315" w:tentative="1">
      <w:start w:val="1"/>
      <w:numFmt w:val="lowerRoman"/>
      <w:lvlText w:val="%3."/>
      <w:lvlJc w:val="right"/>
      <w:pPr>
        <w:ind w:left="2160" w:hanging="180"/>
      </w:pPr>
    </w:lvl>
    <w:lvl w:ilvl="3" w:tplc="28463315" w:tentative="1">
      <w:start w:val="1"/>
      <w:numFmt w:val="decimal"/>
      <w:lvlText w:val="%4."/>
      <w:lvlJc w:val="left"/>
      <w:pPr>
        <w:ind w:left="2880" w:hanging="360"/>
      </w:pPr>
    </w:lvl>
    <w:lvl w:ilvl="4" w:tplc="28463315" w:tentative="1">
      <w:start w:val="1"/>
      <w:numFmt w:val="lowerLetter"/>
      <w:lvlText w:val="%5."/>
      <w:lvlJc w:val="left"/>
      <w:pPr>
        <w:ind w:left="3600" w:hanging="360"/>
      </w:pPr>
    </w:lvl>
    <w:lvl w:ilvl="5" w:tplc="28463315" w:tentative="1">
      <w:start w:val="1"/>
      <w:numFmt w:val="lowerRoman"/>
      <w:lvlText w:val="%6."/>
      <w:lvlJc w:val="right"/>
      <w:pPr>
        <w:ind w:left="4320" w:hanging="180"/>
      </w:pPr>
    </w:lvl>
    <w:lvl w:ilvl="6" w:tplc="28463315" w:tentative="1">
      <w:start w:val="1"/>
      <w:numFmt w:val="decimal"/>
      <w:lvlText w:val="%7."/>
      <w:lvlJc w:val="left"/>
      <w:pPr>
        <w:ind w:left="5040" w:hanging="360"/>
      </w:pPr>
    </w:lvl>
    <w:lvl w:ilvl="7" w:tplc="28463315" w:tentative="1">
      <w:start w:val="1"/>
      <w:numFmt w:val="lowerLetter"/>
      <w:lvlText w:val="%8."/>
      <w:lvlJc w:val="left"/>
      <w:pPr>
        <w:ind w:left="5760" w:hanging="360"/>
      </w:pPr>
    </w:lvl>
    <w:lvl w:ilvl="8" w:tplc="28463315" w:tentative="1">
      <w:start w:val="1"/>
      <w:numFmt w:val="lowerRoman"/>
      <w:lvlText w:val="%9."/>
      <w:lvlJc w:val="right"/>
      <w:pPr>
        <w:ind w:left="6480" w:hanging="180"/>
      </w:pPr>
    </w:lvl>
  </w:abstractNum>
  <w:abstractNum w:abstractNumId="28817">
    <w:multiLevelType w:val="hybridMultilevel"/>
    <w:lvl w:ilvl="0" w:tplc="551520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28817">
    <w:abstractNumId w:val="28817"/>
  </w:num>
  <w:num w:numId="28818">
    <w:abstractNumId w:val="288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2404"/>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05F7"/>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76054"/>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1FA5"/>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4A6F"/>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271597440">
      <w:bodyDiv w:val="1"/>
      <w:marLeft w:val="0"/>
      <w:marRight w:val="0"/>
      <w:marTop w:val="0"/>
      <w:marBottom w:val="0"/>
      <w:divBdr>
        <w:top w:val="none" w:sz="0" w:space="0" w:color="auto"/>
        <w:left w:val="none" w:sz="0" w:space="0" w:color="auto"/>
        <w:bottom w:val="none" w:sz="0" w:space="0" w:color="auto"/>
        <w:right w:val="none" w:sz="0" w:space="0" w:color="auto"/>
      </w:divBdr>
      <w:divsChild>
        <w:div w:id="705256481">
          <w:marLeft w:val="0"/>
          <w:marRight w:val="0"/>
          <w:marTop w:val="0"/>
          <w:marBottom w:val="0"/>
          <w:divBdr>
            <w:top w:val="none" w:sz="0" w:space="0" w:color="auto"/>
            <w:left w:val="none" w:sz="0" w:space="0" w:color="auto"/>
            <w:bottom w:val="none" w:sz="0" w:space="0" w:color="auto"/>
            <w:right w:val="none" w:sz="0" w:space="0" w:color="auto"/>
          </w:divBdr>
          <w:divsChild>
            <w:div w:id="1714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7786660" Type="http://schemas.openxmlformats.org/officeDocument/2006/relationships/comments" Target="comments.xml"/><Relationship Id="rId75441635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5A45B-0686-49BD-A8CD-EBB808EA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26193</TotalTime>
  <Pages>10</Pages>
  <Words>996</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42</cp:revision>
  <cp:lastPrinted>2023-02-01T07:12:00Z</cp:lastPrinted>
  <dcterms:created xsi:type="dcterms:W3CDTF">2023-02-18T16:52:00Z</dcterms:created>
  <dcterms:modified xsi:type="dcterms:W3CDTF">2024-03-06T06:53:00Z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