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«1С разработка»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380732392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Е.Ю. Хрусталева Язык запросов «1С: Предприятия 8». — Москва : ООО «1С-Паблишинг", 2013. — 343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Е.Ю. Хрусталева Разработка сложных отчетов в «1С: Предприятии 8». Система компоновки данных. — Москва : ООО «1С-Паблишинг", 2012. — 458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М.Г. Радченко, Е.Ю. Хрусталева 1C: Предприятие 8.3. Практическое пособие разработчика. Примеры и типовые приемы. — Москва : ООО «1С-Паблишинг", 2013. — 965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С.М. Ковалев, В.М. Ковалев Настольная книга аналитика. Практическое руководство по проектированию бизнес-процессов и организационной структуры. — Москва : ООО «1С-Паблишинг", 2020. — 360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В.В. Рыбалка Hello, 1C. Пример быстрой разработки приложений на платформе «1С: Предприятие 8.3». Мастер-класс. — Москва : ООО «1С-Паблишинг», 2014. — 223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М.Радченко 1С: Программирование для начинающих. Детям и родителям, менеджерам и руководителям. Разработка в системе «1С: Предприятие 8.3». — Москва : ООО «1С-Паблишинг», 2017. — 780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В.А. Ажеронок, А.П. Габец, Д.И. Гончаров, Д.В. Козырев, Д.С. Кухлевский, А.В. Островерх, М.Г. Радченко, Е.Ю. Хрусталева/ Под редакцией М.Г. Радченко Профессиональная разработка в системе «1С: Предприятие 8». — Москва : ООО «1С-Паблишинг», 2017. — 780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Е. Ю. Хрусталёва Технологии интеграции «1С: Предприятия 8.3". — Москва : ООО «1С-Паблишинг», 2020. — 503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Бояркин В.Э., Филатов А.И. 1С: Предприятие 8. Конвертация данных: обмен данными между прикладными решениями. — Москва : ООО «1С-Паблишинг», 2008. — 185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Е.Ю. Хрусталева Расширения конфигураций. Адаптация прикладных решений с сохранением поддержки в облаках и на земле. Разработка в системе «1С:Предприятие 8.3». — Москва : ООО «1С-Паблишинг", 2022. — 287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разрабатывать алгоритмы и программы, пригодные для практического применения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проблемно-ориентированных объектов, поддерживаемых на уровне технологической платформы: справочники, документы, регистры, отчеты, перечисления, бизнес-процессы, общие объекты и пр.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структуры объектов прикладного решения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описание специфических алгоритмов функционирования объектов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взаимодействия объектов прикладного решения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различные типы макетов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формирования табличного документа на основе макета.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области табличного документа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вывода областей табличного документа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получения данных из информационной базы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соединения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конструктор запросов.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группировки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вложенные запросы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временные таблицы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итогов 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пакетные запросы.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отборы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виртуальные таблицы в языке запросов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механизм, основанный на декларативном описании отчетов.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 предназначенный для построения отчетов, который содержит произвольный набор таблиц и диаграмм.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различные способы создания отчетов.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настройки отчета в клиентской части платформы.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внешний отчет.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 предназначенный для вывода информации, имеющей сложную структуру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сущность понятия "пользователь информационной базы"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элемент справочника "пользователи"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механизмы БСП подсистемы администрирования пользователей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настройки роли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и методы контроля прав доступа в различных разделах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понятие привилегированного режима.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контроля прав пользователей при получении данных информационной базы.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ограничения прав на уровне записи.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шаблоны для ограничения доступа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наложения ограничений.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стандартные виды доступа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механизм, предназначенный для выполнения определенного действия по заданному расписанию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понятия модальности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асинхронных вызовов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события приложения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механизм, предназначенный для выполнения алгоритмов без участия пользователя платформы.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модуля сеанса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внешнего соединения.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фоновых заданий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применения на практике механизмы интерактивной работы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настраивать  состав и свойства объектов 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 алгоритмы формирования  печатных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  алгоритмы заполнения объектов на основе запросов данными из информационной базы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отчеты  на основе системы компоновки данных  для реализации закрепленной за ним функциональности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 администрирование 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применять интерактивные и не интерактивные методы разработки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проектировать  компьютерное программное обеспечение в среде 1С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конструктор формы объекта конфигурации, который служит для создания различных форм, которые будут использованы системой при отображении данных этого объекта.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существующие элементы форм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интерактивной работы.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команды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параметры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реквизиты форм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события элементов метаданных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COM на примере подключения к сторонней базе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COM на примере получения данных из сторонней базы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обмена данными с внешними источниками посредством web-сервисов.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XMLSchema.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обмена данными с внешними источниками посредством http-сервисов.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что такое текстовый формат обмена данными JSON.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использования примитивных типов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назначения примитивных типов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ссылочные типы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общие типы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интерфейсные типы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глобального контекста для работы со значениями типами Строка, Число, Дата, Тип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глобального контекста для преобразования значений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использования коллекций значений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назначения коллекций значений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операторы присвоения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условные выражения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циклы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исключения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ключевые слова процедур и функций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директивы компиляции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обхода значений различных коллекций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программирования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структурного мышления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 и рекомендаций написания эффективного кода применимых в программировании и, в частности, на платформе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понятие типовой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обновления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обновления доработанной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режимы поддержки объектов конфигурации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 сравнения конфигураций.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 объединения конфигураций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что такое подписка на событие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применения на практике подписки на событие, в том числе для целей расширения функциональности и доработки типовых конфигураций.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доработки типовых конфигураций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использования возможностей механизма расширений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обновления расширений при обновлении типовой конфигурации.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построения архитектуры программного обеспечения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виды архитектуры программного обеспечения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типовые решения: библиотеки программных модулей, шаблоны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классы объектов, используемые при разработке компьютерного программного обеспечения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и средства проектирования компьютерного программного обеспечения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и средства проектирования баз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и средства проектирования программных интерфейсов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анализа предметных областей использования 1С: Предприятия для построения архитектуры программного продукта, отвечающего принципам программирования.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используемых в предметных областях 1С:Предприятия бизнес-сущностей для построения архитектуры программного продукта, отвечающего принципам программирования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что такое консоль администрирования сервера 1С.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создания баз на Сервере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редактирования баз на Сервере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удаления баз на Сервере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действия в консоли администрирования Сервера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создавать интерфейсы  для реализации  закрепленной за ним функциональности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 взаимодействие  с другими программными продуктами и сервисами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описывать алгоритмы на языке программирования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обслуживать конфигурацию 1С  на платформе 1С:Предприятия  для актуализации функционала пользователей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архитектуру прикладного приложения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администрировать информационные базы Сервера 1С  с помощью консоли администрирования на платформе 1С:Предприятие  в условиях клиент-серверной архитектуры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установки Технологической платформы 1С:Предприятие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программные продукты, поставляемые фирмой 1С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набор технологий для разработки прикладных решений на платформе «1С: Предприятие», заложенных в БСП.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правовые категории обрабатываемых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правовую сущность банковской и коммерческой тайны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правовую сущность соглашения о неразглашении (NDA)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практические аспекты работы в организации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что такое производственный процесс в организациях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подхода DevOps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модель компетенций в DevОps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актуальные практики Agile.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набор универсальных функциональных подсистем на платформе «1С: Предприятие», заложенных в БСП.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отдельных компонентов технологической платформы 1С:Предприятие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конфигураций, используемых при разработки программных продуктов на базе 1С:Предприятия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построения архитектуры программного обеспечения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виды архитектуры программного обеспечения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типовые решения: библиотеки программных модулей, шаблоны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классы объектов, используемые при разработке компьютерного программного обеспечения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методы и средства проектирования компьютерного программного обеспечения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методы и средства проектирования баз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методы и средства проектирования программных интерфейсов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назначение проблемно-ориентированных объектов, поддерживаемых на уровне технологической платформы: справочники, документы, регистры, отчеты, перечисления, бизнес-процессы, общие объекты и пр.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структуры объектов прикладного решения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описание специфических алгоритмов функционирования объектов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анализа предметных областей использования 1С: Предприятия для построения архитектуры программного продукта, отвечающего принципам программирования.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классификацию используемых в предметных областях 1С:Предприятия бизнес-сущностей для построения архитектуры программного продукта, отвечающего принципам программирования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конструктор формы объекта конфигурации, который служит для создания различных форм, которые будут использованы системой при отображении данных этого объекта.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существующие элементы форм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интерактивной работы.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получения данных из информационной базы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соединения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различные типы макетов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формирования табличного документа на основе макета.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области табличного документа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механизм, основанный на декларативном описании отчетов.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 предназначенный для построения отчетов, который содержит произвольный набор таблиц и диаграмм.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различные способы создания отчетов.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возможности настройки отчета в клиентской части платформы.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механизм, предназначенный для выполнения определенного действия по заданному расписанию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понятия модальности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асинхронных вызовов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события приложения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сущность понятия "пользователь информационной базы"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элемент справочника "пользователи"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механизмы БСП подсистемы администрирования пользователей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настройки роли пользователя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и методы контроля прав доступа в различных разделах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понятие привилегированного режима.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контроля прав пользователей при получении данных информационной базы.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ограничения прав на уровне записи.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шаблоны для ограничения доступа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наложения ограничений.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набор универсальных функциональных подсистем на платформе «1С: Предприятие», заложенных в БСП.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команды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параметры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реквизиты форм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события элементов метаданных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взаимодействия объектов прикладного решения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механизм, предназначенный для выполнения алгоритмов без участия пользователя платформы.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модуля сеанса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внешнего соединения.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вывода областей табличного документа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конструктор запросов.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группировки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вложенные запросы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временные таблицы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итогов 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пакетные запросы.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внешний отчет.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 предназначенный для вывода информации, имеющей сложную структуру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стандартные виды доступа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набор технологий для разработки прикладных решений на платформе «1С: Предприятие», заложенных в БСП.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понятие типовой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обновления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обновления доработанной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режимы поддержки объектов конфигурации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 сравнения конфигураций.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механизм объединения конфигураций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что такое подписка на событие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применения на практике подписки на событие, в том числе для целей расширения функциональности и доработки типовых конфигураций.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доработки типовых конфигураций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использования возможностей механизма расширений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обновления расширений при обновлении типовой конфигурации.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что такое консоль администрирования сервера 1С.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создания баз на Сервере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редактирования баз на Сервере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удаления баз на Сервере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действия в консоли администрирования Сервера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возможности COM на примере подключения к сторонней базе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возможности COM на примере получения данных из сторонней базы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обмена данными с внешними источниками посредством web-сервисов.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назначение XMLSchema.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обмена данными с внешними источниками посредством http-сервисов.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что такое текстовый формат обмена данными JSON.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правовые категории обрабатываемых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правовую сущность банковской и коммерческой тайны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правовую сущность соглашения о неразглашении (NDA)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практические аспекты работы в организации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что такое производственный процесс в организациях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подхода DevOps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модель компетенций в DevОps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актуальные практики Agile.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использования примитивных типов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назначения примитивных типов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ссылочные типы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общие типы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интерфейсные типы системы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глобального контекста для работы со значениями типами Строка, Число, Дата, Тип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глобального контекста для преобразования значений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использования коллекций значений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назначения коллекций значений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операторы присвоения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условные выражения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циклы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исключения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ключевые слова процедур и функций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директивы компиляции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правила обхода значений различных коллекций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понятия программирования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структурного мышления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правил и рекомендаций написания эффективного кода применимых в программировании и, в частности, на платформе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отборы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виртуальные таблицы в языке запросов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фоновых заданий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применения на практике механизмы интерактивной работы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установки Технологической платформы 1С:Предприятие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программные продукты, поставляемые фирмой 1С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назначение отдельных компонентов технологической платформы 1С:Предприятие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типы конфигураций, используемых при разработки программных продуктов на базе 1С:Предприятия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1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умений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умений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умение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настраивать  состав и свойства объектов  метаданных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1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создавать интерфейсы  для реализации  закрепленной за ним функциональности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осуществлять  взаимодействие  с другими программными продуктами и сервисами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описывать алгоритмы на языке программирования 1С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 алгоритмы формирования  печатных документов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3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  алгоритмы заполнения объектов на основе запросов данными из информационной базы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отчеты  на основе системы компоновки данных  для реализации закрепленной за ним функциональности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осуществлять  администрирование  пользователя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обслуживать конфигурацию 1С  на платформе 1С:Предприятия  для актуализации функционала пользователей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4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применять интерактивные и не интерактивные методы разработки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5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архитектуру прикладного приложения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администрировать информационные базы Сервера 1С  с помощью консоли администрирования на платформе 1С:Предприятие  в условиях клиент-серверной архитектуры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6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5.89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5.89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умений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настраивать  состав и свойства объектов  метаданных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учебной конфигурации создать необходимые объекты методанных по разработанной архитектуре.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/>
        <w:t xml:space="preserve">Настроить свойства объектов.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/>
        <w:t xml:space="preserve">Создать формы для пользователей и настроить их.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осуществлять  взаимодействие  с другими программными продуктами и сервисами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Заполнить справочники ИБ из EXCEL. Создать http-сервис и вывести информацию из ИБ в виде JSON строки по внешнему запросу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3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разрабатывать  алгоритмы формирования  печатных документов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печатные формы для документов через макет и отчеты для вывода данных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15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16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17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18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4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обслуживать конфигурацию 1С  на платформе 1С:Предприятия  для актуализации функционала пользователей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Дополнить конфигурацию ролями и настроить командные интерфейсы.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объекты в механизм версионирования данных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19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20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21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22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5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применять интерактивные и не интерактивные методы разработки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Дополнить конфигурацию регламентной операцией и создать обработку для получения файлов на сервере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23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24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25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26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6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администрировать информационные базы Сервера 1С  с помощью консоли администрирования на платформе 1С:Предприятие  в условиях клиент-серверной архитектуры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резервную копию ИБ (в режиме предприятия и в конфигуарторе),  сохранить конфигурацию в файл.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/>
        <w:t xml:space="preserve">Создать расширение и наполнить его дополнительным функционалом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30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0" w:name="_Toc33036841"/>
      <w:bookmarkStart w:id="51" w:name="_GoBack"/>
      <w:bookmarkEnd w:id="5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умений</w:t>
      </w:r>
      <w:r w:rsidRPr="005F373B">
        <w:t xml:space="preserve">: аттестация на проверку </w:t>
      </w:r>
      <w:r w:rsidR="00980E8B">
        <w:rPr>
          <w:lang w:val="en-US"/>
        </w:rPr>
        <w:t>умений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6</w:t>
      </w:r>
      <w:r w:rsidR="00922A02" w:rsidRPr="00834B6A">
        <w:t xml:space="preserve"> (из 6)</w:t>
      </w:r>
      <w:r w:rsidR="00922A02">
        <w:t xml:space="preserve"> практических заданий.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8FDF" w14:textId="77777777" w:rsidR="003E3911" w:rsidRDefault="003E3911" w:rsidP="00802646">
      <w:pPr>
        <w:spacing w:line="240" w:lineRule="auto"/>
      </w:pPr>
      <w:r>
        <w:separator/>
      </w:r>
    </w:p>
  </w:endnote>
  <w:endnote w:type="continuationSeparator" w:id="0">
    <w:p w14:paraId="41F598DD" w14:textId="77777777" w:rsidR="003E3911" w:rsidRDefault="003E391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3C54" w14:textId="77777777" w:rsidR="003E3911" w:rsidRDefault="003E3911" w:rsidP="00802646">
      <w:pPr>
        <w:spacing w:line="240" w:lineRule="auto"/>
      </w:pPr>
      <w:r>
        <w:separator/>
      </w:r>
    </w:p>
  </w:footnote>
  <w:footnote w:type="continuationSeparator" w:id="0">
    <w:p w14:paraId="473EB4B8" w14:textId="77777777" w:rsidR="003E3911" w:rsidRDefault="003E391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4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45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8339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26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54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65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78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59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96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57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2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6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5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743">
    <w:multiLevelType w:val="hybridMultilevel"/>
    <w:lvl w:ilvl="0" w:tplc="47198611">
      <w:start w:val="1"/>
      <w:numFmt w:val="decimal"/>
      <w:lvlText w:val="%1."/>
      <w:lvlJc w:val="left"/>
      <w:pPr>
        <w:ind w:left="720" w:hanging="360"/>
      </w:pPr>
    </w:lvl>
    <w:lvl w:ilvl="1" w:tplc="47198611" w:tentative="1">
      <w:start w:val="1"/>
      <w:numFmt w:val="lowerLetter"/>
      <w:lvlText w:val="%2."/>
      <w:lvlJc w:val="left"/>
      <w:pPr>
        <w:ind w:left="1440" w:hanging="360"/>
      </w:pPr>
    </w:lvl>
    <w:lvl w:ilvl="2" w:tplc="47198611" w:tentative="1">
      <w:start w:val="1"/>
      <w:numFmt w:val="lowerRoman"/>
      <w:lvlText w:val="%3."/>
      <w:lvlJc w:val="right"/>
      <w:pPr>
        <w:ind w:left="2160" w:hanging="180"/>
      </w:pPr>
    </w:lvl>
    <w:lvl w:ilvl="3" w:tplc="47198611" w:tentative="1">
      <w:start w:val="1"/>
      <w:numFmt w:val="decimal"/>
      <w:lvlText w:val="%4."/>
      <w:lvlJc w:val="left"/>
      <w:pPr>
        <w:ind w:left="2880" w:hanging="360"/>
      </w:pPr>
    </w:lvl>
    <w:lvl w:ilvl="4" w:tplc="47198611" w:tentative="1">
      <w:start w:val="1"/>
      <w:numFmt w:val="lowerLetter"/>
      <w:lvlText w:val="%5."/>
      <w:lvlJc w:val="left"/>
      <w:pPr>
        <w:ind w:left="3600" w:hanging="360"/>
      </w:pPr>
    </w:lvl>
    <w:lvl w:ilvl="5" w:tplc="47198611" w:tentative="1">
      <w:start w:val="1"/>
      <w:numFmt w:val="lowerRoman"/>
      <w:lvlText w:val="%6."/>
      <w:lvlJc w:val="right"/>
      <w:pPr>
        <w:ind w:left="4320" w:hanging="180"/>
      </w:pPr>
    </w:lvl>
    <w:lvl w:ilvl="6" w:tplc="47198611" w:tentative="1">
      <w:start w:val="1"/>
      <w:numFmt w:val="decimal"/>
      <w:lvlText w:val="%7."/>
      <w:lvlJc w:val="left"/>
      <w:pPr>
        <w:ind w:left="5040" w:hanging="360"/>
      </w:pPr>
    </w:lvl>
    <w:lvl w:ilvl="7" w:tplc="47198611" w:tentative="1">
      <w:start w:val="1"/>
      <w:numFmt w:val="lowerLetter"/>
      <w:lvlText w:val="%8."/>
      <w:lvlJc w:val="left"/>
      <w:pPr>
        <w:ind w:left="5760" w:hanging="360"/>
      </w:pPr>
    </w:lvl>
    <w:lvl w:ilvl="8" w:tplc="471986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42">
    <w:multiLevelType w:val="hybridMultilevel"/>
    <w:lvl w:ilvl="0" w:tplc="62899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4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15742">
    <w:abstractNumId w:val="15742"/>
  </w:num>
  <w:num w:numId="15743">
    <w:abstractNumId w:val="15743"/>
  </w:num>
  <w:num w:numId="2254">
    <w:abstractNumId w:val="2254"/>
  </w:num>
  <w:num w:numId="3964">
    <w:abstractNumId w:val="3964"/>
  </w:num>
  <w:num w:numId="3529">
    <w:abstractNumId w:val="3529"/>
  </w:num>
  <w:num w:numId="16570">
    <w:abstractNumId w:val="16570"/>
  </w:num>
  <w:num w:numId="12964">
    <w:abstractNumId w:val="12964"/>
  </w:num>
  <w:num w:numId="17598">
    <w:abstractNumId w:val="17598"/>
  </w:num>
  <w:num w:numId="28787">
    <w:abstractNumId w:val="28787"/>
  </w:num>
  <w:num w:numId="19658">
    <w:abstractNumId w:val="19658"/>
  </w:num>
  <w:num w:numId="27545">
    <w:abstractNumId w:val="27545"/>
  </w:num>
  <w:num w:numId="13264">
    <w:abstractNumId w:val="13264"/>
  </w:num>
  <w:num w:numId="28339">
    <w:abstractNumId w:val="28339"/>
  </w:num>
  <w:num w:numId="3445">
    <w:abstractNumId w:val="3445"/>
  </w:num>
  <w:num w:numId="28741">
    <w:abstractNumId w:val="2874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7126536" Type="http://schemas.openxmlformats.org/officeDocument/2006/relationships/comments" Target="comments.xml"/><Relationship Id="rId654874546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147</cp:revision>
  <cp:lastPrinted>2020-04-09T08:29:00Z</cp:lastPrinted>
  <dcterms:created xsi:type="dcterms:W3CDTF">2021-08-23T15:12:00Z</dcterms:created>
  <dcterms:modified xsi:type="dcterms:W3CDTF">2024-02-05T14:20:00Z</dcterms:modified>
</cp:coreProperties>
</file>