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B11397" w:rsidRDefault="007371B7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Проректор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1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Транспортное моделирование на цифровой платформе РУТ Мобилити</w:t>
      </w:r>
      <w:r w:rsidRPr="00B11397">
        <w:rPr>
          <w:bCs/>
          <w:sz w:val="28"/>
          <w:szCs w:val="28"/>
        </w:rPr>
        <w:t>»</w:t>
      </w:r>
    </w:p>
    <w:bookmarkEnd w:id="1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Транспортное моделирование на цифровой платформе РУТ Мобилити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повышения квалификации «Транспортное моделирование на цифровой платформе РУТ Мобилити» (далее – Программа) предназначена для повышения квалификации специалистов в области проектирования, транспортного планирования и моделирования. Необходимость реализации Программы обусловлена требованиями перехода на отечественное программное обеспечение. Реализация данной Программы позволит повысить производительность работы в области проектирования. Практическая направленность Программы позволяет использовать её для подготовки специалистов в сфере транспортного моделирования. Ключевыми особенностями Программы является формирование у обучающихся знаний и умений по работе в программном продукте «Цифровая платформа РУТ Мобилити» при транспортном планировании. 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доктор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Борщ Виталий Викторович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Ступникова Елена Анатольевна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Барышев Леонид Михайлович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Шурупов Алексей Вячеславович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Валидация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2" w:name="_Toc98934001"/>
      <w:r w:rsidRPr="00B11397">
        <w:lastRenderedPageBreak/>
        <w:t>Содержание</w:t>
      </w:r>
      <w:bookmarkEnd w:id="2"/>
    </w:p>
    <w:sdt>
      <w:sdtPr>
        <w:id w:val="879928219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3" w:name="_Toc98934593"/>
      <w:bookmarkStart w:id="4" w:name="_Toc126073473"/>
      <w:r w:rsidRPr="00B11397">
        <w:lastRenderedPageBreak/>
        <w:t>Общая характеристика программы</w:t>
      </w:r>
      <w:bookmarkEnd w:id="3"/>
      <w:bookmarkEnd w:id="4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5" w:name="_Toc98934594"/>
      <w:bookmarkStart w:id="6" w:name="_Toc126073474"/>
      <w:r w:rsidRPr="00B11397">
        <w:t>Общие положения</w:t>
      </w:r>
      <w:bookmarkEnd w:id="5"/>
      <w:bookmarkEnd w:id="6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7" w:name="_Toc98934595"/>
      <w:bookmarkStart w:id="8" w:name="_Toc126073475"/>
      <w:r w:rsidRPr="00B11397">
        <w:t>Нормативные правовые основания разработки</w:t>
      </w:r>
      <w:bookmarkEnd w:id="7"/>
      <w:bookmarkEnd w:id="8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Транспортное моделирование на цифровой платформе РУТ Мобилити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17.135 Работник по развитию агломерационной транспортной мобильности, утв. приказом Минтруда России от 25.04.2023 № 325н.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23.03.01 Технология транспортных процессов, утв. приказом Минобрнауки России от 07.08.2020 № 911.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9" w:name="_Toc98934596"/>
      <w:bookmarkStart w:id="10" w:name="_Toc126073476"/>
      <w:r w:rsidRPr="00B11397">
        <w:t>Требования к обучающимся</w:t>
      </w:r>
      <w:bookmarkEnd w:id="9"/>
      <w:bookmarkEnd w:id="10"/>
    </w:p>
    <w:p w14:paraId="6783C706" w14:textId="77777777" w:rsidR="009F2455" w:rsidRPr="00B11397" w:rsidRDefault="009F2455" w:rsidP="00E17C2B">
      <w:pPr>
        <w:pStyle w:val="TEXT"/>
      </w:pPr>
      <w:bookmarkStart w:id="11" w:name="_Toc122256433"/>
      <w:bookmarkStart w:id="12" w:name="_Toc122258082"/>
      <w:bookmarkStart w:id="13" w:name="_Toc98934597"/>
      <w:bookmarkStart w:id="14" w:name="_Toc126073477"/>
      <w:bookmarkEnd w:id="11"/>
      <w:bookmarkEnd w:id="12"/>
      <w:r w:rsidRPr="00B11397">
        <w:t>а) требования к уровню образования: лица, имеющие высшее образование; лица, получающие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отсутствуют.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3"/>
      <w:bookmarkEnd w:id="14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38A5DCBF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22</w:t>
      </w:r>
      <w:r w:rsidRPr="00B11397">
        <w:t xml:space="preserve"> </w:t>
      </w:r>
      <w:r w:rsidR="001F0C0E">
        <w:t>ак</w:t>
      </w:r>
      <w:r w:rsidR="00A16C9A">
        <w:t>адемических</w:t>
      </w:r>
      <w:r w:rsidR="001F0C0E">
        <w:t xml:space="preserve"> </w:t>
      </w:r>
      <w:r w:rsidR="00A16C9A" w:rsidRPr="00A16C9A">
        <w:t>часа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3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очной формы обучения и 6 календарных</w:t>
      </w:r>
      <w:r w:rsidRPr="00B11397">
        <w:rPr>
          <w:spacing w:val="-2"/>
        </w:rPr>
        <w:t xml:space="preserve"> </w:t>
      </w:r>
      <w:r w:rsidR="00834B6A" w:rsidRPr="00834B6A">
        <w:t>дней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разрабатывать и использовать модель транспортного спроса, используя цифровую платформу РУТ Мобилити, для транспортного планирования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«Генерация передвижений»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«Матрица корреспонденций»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которыми необходимо руководствоваться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РУТ Мобилити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РУТ Мобилити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РУТ Мобилити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РУТ Мобилити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Основные положения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Положения нормативных правовых актов, которыми необходимо руководствоваться при транспортном моделировании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положения нормативных правовых актов, которыми необходимо руководствоваться при транспортном моделировании.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Понятийный аппарат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понятийный аппарат транспортного планирования.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Знакомство с программным обеспечением. Авторизация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Перечень функций цифровой платформы РУТ Мобилити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цифровой платформы РУТ Мобилити.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Блоки интерфейса цифровой платформы РУТ Мобилити и их назначение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блоки интерфейса цифровой платформы РУТ Мобилити и их назначение.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Алгоритм авторизации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авторизации пользователя.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Перечень функций работы с проектами и сценариями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работы с проектами и сценариями.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получать доступ к цифровой платформе РУТ Мобилити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Транспортный спрос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Архитектура классической 4-х этапной модели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классической 4-х этапной модели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Инструменты настройки структуры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настройки структуры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Способы сбора первичных данных для определения параметров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сбора первичных данных для определения параметров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Работа с транспортным графом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Состав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Инструмент редактирования узлов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узлов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Инструмент редактирования параметров дуг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параметров дуг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Инструмент работы по формированию улично-дорожной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улично-дорожной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Инструмент работы по формированию линий внеуличного транспорта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линий внеуличного транспорта.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Инструмент работы по формированию маршрутов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маршрутов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Инструмент работы с транспортными районами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с транспортными районами.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цифровой платформы РУТ Мобилити для создания и редактирования транспортного графа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Настройка параметров расчета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Инструмент выбора последовательности процедур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выбора последовательности процедур.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Визуализация результатов транспортного моделирования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Типы визуализации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типы визуализации.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Инструмент типа визуализации «Генерация передвижений»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«Генерация передвижений».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визуализации цифровой платформы РУТ Мобилити для отображения результатов моделирования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Инструмент типа визуализации «Матрица корреспонденций»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«Матрица корреспонденций».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6.4 Инструмент типа визуализации «Распределение транспортных потоков»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«Распределение транспортных потоков».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22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22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положения транспортного планирования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Положения нормативных правовых актов, которыми необходимо руководствоваться при транспортном моделировании. Понятийный аппарат транспортного планирования.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Знакомство с программным обеспечением. Авторизация пользователя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Перечень функций цифровой платформы РУТ Мобилити. Блоки интерфейса цифровой платформы РУТ Мобилити и их назначение. Алгоритм авторизации пользователя. Перечень функций работы с проектами и сценариями.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Транспортный спрос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Архитектура классической 4-х этапной модели транспортного спроса. Инструменты настройки структуры транспортного спроса. Способы сбора первичных данных для определения параметров транспортного спроса.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Работа с транспортным графом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Состав транспортного графа. Инструмент редактирования узлов транспортного графа. Инструмент редактирования параметров дуг транспортного графа. Инструмент работы по формированию улично-дорожной сети. Инструмент работы по формированию линий внеуличного транспорта. Инструмент работы по формированию маршрутов сети. Инструмент работы с транспортными районами.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Настройка параметров расчета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Инструмент выбора последовательности процедур.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Визуализация результатов транспортного моделирования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Типы визуализации. Инструмент типа визуализации «Генерация передвижений». Инструмент типа визуализации «Матрица корреспонденций». Инструмент типа визуализации «Распределение транспортных потоков».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2004 г. №      190-ФЗ  «Градостроительный кодекс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ОДМ 218.4.023–2015. Отраслевой дорожный методический документ. «Отраслевой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 2106-р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Якимов М.Р. Транспортное планирование: создание транспортных моделей городов. — Москва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Официальный сайт Цифровая платформа моделирования транспортного поведения : https://t-sim.appmath.ru/login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30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70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3</w:t>
      </w:r>
      <w:r w:rsidR="00F50BC8" w:rsidRPr="00834B6A">
        <w:rPr>
          <w:sz w:val="28"/>
          <w:szCs w:val="22"/>
          <w:lang w:eastAsia="en-US"/>
        </w:rPr>
        <w:t xml:space="preserve"> (из 3)</w:t>
      </w:r>
      <w:r w:rsidR="007A5D53" w:rsidRPr="00B11397">
        <w:rPr>
          <w:sz w:val="28"/>
          <w:szCs w:val="22"/>
          <w:lang w:eastAsia="en-US"/>
        </w:rPr>
        <w:t xml:space="preserve">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EE5C" w14:textId="77777777" w:rsidR="00307294" w:rsidRDefault="00307294">
      <w:r>
        <w:separator/>
      </w:r>
    </w:p>
  </w:endnote>
  <w:endnote w:type="continuationSeparator" w:id="0">
    <w:p w14:paraId="7E902F6E" w14:textId="77777777" w:rsidR="00307294" w:rsidRDefault="00307294">
      <w:r>
        <w:continuationSeparator/>
      </w:r>
    </w:p>
  </w:endnote>
  <w:endnote w:type="continuationNotice" w:id="1">
    <w:p w14:paraId="392A23CB" w14:textId="77777777" w:rsidR="00307294" w:rsidRDefault="00307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7371B7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BD68" w14:textId="77777777" w:rsidR="00307294" w:rsidRDefault="00307294">
      <w:r>
        <w:separator/>
      </w:r>
    </w:p>
  </w:footnote>
  <w:footnote w:type="continuationSeparator" w:id="0">
    <w:p w14:paraId="7DDBD6E5" w14:textId="77777777" w:rsidR="00307294" w:rsidRDefault="00307294">
      <w:r>
        <w:continuationSeparator/>
      </w:r>
    </w:p>
  </w:footnote>
  <w:footnote w:type="continuationNotice" w:id="1">
    <w:p w14:paraId="4725674E" w14:textId="77777777" w:rsidR="00307294" w:rsidRDefault="003072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73">
    <w:multiLevelType w:val="hybridMultilevel"/>
    <w:lvl w:ilvl="0" w:tplc="46398854">
      <w:start w:val="1"/>
      <w:numFmt w:val="decimal"/>
      <w:lvlText w:val="%1."/>
      <w:lvlJc w:val="left"/>
      <w:pPr>
        <w:ind w:left="720" w:hanging="360"/>
      </w:pPr>
    </w:lvl>
    <w:lvl w:ilvl="1" w:tplc="46398854" w:tentative="1">
      <w:start w:val="1"/>
      <w:numFmt w:val="lowerLetter"/>
      <w:lvlText w:val="%2."/>
      <w:lvlJc w:val="left"/>
      <w:pPr>
        <w:ind w:left="1440" w:hanging="360"/>
      </w:pPr>
    </w:lvl>
    <w:lvl w:ilvl="2" w:tplc="46398854" w:tentative="1">
      <w:start w:val="1"/>
      <w:numFmt w:val="lowerRoman"/>
      <w:lvlText w:val="%3."/>
      <w:lvlJc w:val="right"/>
      <w:pPr>
        <w:ind w:left="2160" w:hanging="180"/>
      </w:pPr>
    </w:lvl>
    <w:lvl w:ilvl="3" w:tplc="46398854" w:tentative="1">
      <w:start w:val="1"/>
      <w:numFmt w:val="decimal"/>
      <w:lvlText w:val="%4."/>
      <w:lvlJc w:val="left"/>
      <w:pPr>
        <w:ind w:left="2880" w:hanging="360"/>
      </w:pPr>
    </w:lvl>
    <w:lvl w:ilvl="4" w:tplc="46398854" w:tentative="1">
      <w:start w:val="1"/>
      <w:numFmt w:val="lowerLetter"/>
      <w:lvlText w:val="%5."/>
      <w:lvlJc w:val="left"/>
      <w:pPr>
        <w:ind w:left="3600" w:hanging="360"/>
      </w:pPr>
    </w:lvl>
    <w:lvl w:ilvl="5" w:tplc="46398854" w:tentative="1">
      <w:start w:val="1"/>
      <w:numFmt w:val="lowerRoman"/>
      <w:lvlText w:val="%6."/>
      <w:lvlJc w:val="right"/>
      <w:pPr>
        <w:ind w:left="4320" w:hanging="180"/>
      </w:pPr>
    </w:lvl>
    <w:lvl w:ilvl="6" w:tplc="46398854" w:tentative="1">
      <w:start w:val="1"/>
      <w:numFmt w:val="decimal"/>
      <w:lvlText w:val="%7."/>
      <w:lvlJc w:val="left"/>
      <w:pPr>
        <w:ind w:left="5040" w:hanging="360"/>
      </w:pPr>
    </w:lvl>
    <w:lvl w:ilvl="7" w:tplc="46398854" w:tentative="1">
      <w:start w:val="1"/>
      <w:numFmt w:val="lowerLetter"/>
      <w:lvlText w:val="%8."/>
      <w:lvlJc w:val="left"/>
      <w:pPr>
        <w:ind w:left="5760" w:hanging="360"/>
      </w:pPr>
    </w:lvl>
    <w:lvl w:ilvl="8" w:tplc="46398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72">
    <w:multiLevelType w:val="hybridMultilevel"/>
    <w:lvl w:ilvl="0" w:tplc="65435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9872">
    <w:abstractNumId w:val="19872"/>
  </w:num>
  <w:num w:numId="19873">
    <w:abstractNumId w:val="1987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39590532" Type="http://schemas.openxmlformats.org/officeDocument/2006/relationships/comments" Target="comments.xml"/><Relationship Id="rId739921203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0F45E4-F6EF-4A0D-9515-6B043152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26180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38</cp:revision>
  <cp:lastPrinted>2023-02-01T07:12:00Z</cp:lastPrinted>
  <dcterms:created xsi:type="dcterms:W3CDTF">2023-02-18T16:52:00Z</dcterms:created>
  <dcterms:modified xsi:type="dcterms:W3CDTF">2024-01-30T07:51:00Z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