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«Технологии информационного моделирования на объектах железнодорожной инфраструктуры»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>
          <w:b w:val="1"/>
          <w:bCs w:val="1"/>
        </w:rPr>
        <w:t xml:space="preserve">Практическое занятие №1</w:t>
      </w:r>
    </w:p>
    <w:p>
      <w:pPr/>
      <w:r>
        <w:rPr>
          <w:b w:val="1"/>
          <w:bCs w:val="1"/>
        </w:rPr>
        <w:t xml:space="preserve">Проверка функциональных зон цифровой информационной модели объекта</w:t>
      </w:r>
    </w:p>
    <w:p>
      <w:pPr/>
      <w:r>
        <w:rPr>
          <w:b w:val="1"/>
          <w:bCs w:val="1"/>
        </w:rPr>
        <w:t xml:space="preserve">Необходимо</w:t>
      </w:r>
      <w:r>
        <w:rPr/>
        <w:t xml:space="preserve">:</w:t>
      </w:r>
    </w:p>
    <w:p>
      <w:pPr>
        <w:numPr>
          <w:ilvl w:val="0"/>
          <w:numId w:val="3"/>
        </w:numPr>
      </w:pPr>
      <w:r>
        <w:rPr/>
        <w:t xml:space="preserve">Указать формат исходных файловых данных и дату актуальной версии ЦИМ (Таблица 1, столбец 3)</w:t>
      </w:r>
    </w:p>
    <w:p>
      <w:pPr>
        <w:numPr>
          <w:ilvl w:val="0"/>
          <w:numId w:val="3"/>
        </w:numPr>
      </w:pPr>
      <w:r>
        <w:rPr/>
        <w:t xml:space="preserve">Проверить сводную цифровую информационную модель:</w:t>
      </w:r>
    </w:p>
    <w:p>
      <w:pPr>
        <w:numPr>
          <w:ilvl w:val="1"/>
          <w:numId w:val="3"/>
        </w:numPr>
      </w:pPr>
      <w:r>
        <w:rPr/>
        <w:t xml:space="preserve">Определить наименования помещений № 1; 2;3;4 (таблица 2 столбец 2);</w:t>
      </w:r>
    </w:p>
    <w:p>
      <w:pPr>
        <w:numPr>
          <w:ilvl w:val="1"/>
          <w:numId w:val="3"/>
        </w:numPr>
      </w:pPr>
      <w:r>
        <w:rPr/>
        <w:t xml:space="preserve">Указать номер(а) помещений, не имеющих двери (инциденты качества) (таблица 2 столбец 3);</w:t>
      </w:r>
    </w:p>
    <w:p>
      <w:pPr>
        <w:numPr>
          <w:ilvl w:val="1"/>
          <w:numId w:val="3"/>
        </w:numPr>
      </w:pPr>
      <w:r>
        <w:rPr/>
        <w:t xml:space="preserve">Определить конструктивные решения: габариты колонн, руководствуясь атрибутивными данными;</w:t>
      </w:r>
    </w:p>
    <w:p>
      <w:pPr>
        <w:numPr>
          <w:ilvl w:val="0"/>
          <w:numId w:val="3"/>
        </w:numPr>
      </w:pPr>
      <w:r>
        <w:rPr/>
        <w:t xml:space="preserve">Проверить на соответствие классификатору IFC класса (сущности), к которым принадлежат наружные входные двери и окна цифровой информационной модели помещений № 1; 2;3;4 (таблица 4 столбец Примечание)</w:t>
      </w:r>
    </w:p>
    <w:p>
      <w:pPr/>
      <w:r>
        <w:rPr>
          <w:b w:val="1"/>
          <w:bCs w:val="1"/>
        </w:rPr>
        <w:t xml:space="preserve"> </w:t>
      </w:r>
    </w:p>
    <w:p>
      <w:pPr/>
      <w:r>
        <w:rPr>
          <w:b w:val="1"/>
          <w:bCs w:val="1"/>
        </w:rPr>
        <w:t xml:space="preserve">Исходные данные:</w:t>
      </w:r>
    </w:p>
    <w:p>
      <w:pPr>
        <w:numPr>
          <w:ilvl w:val="0"/>
          <w:numId w:val="4"/>
        </w:numPr>
      </w:pPr>
      <w:r>
        <w:rPr/>
        <w:t xml:space="preserve">Цифровая информационная модель (рисунок 1);</w:t>
      </w:r>
    </w:p>
    <w:p>
      <w:pPr>
        <w:numPr>
          <w:ilvl w:val="0"/>
          <w:numId w:val="4"/>
        </w:numPr>
      </w:pPr>
      <w:r>
        <w:rPr/>
        <w:t xml:space="preserve">Перечень цифровых информационных моделей. (Таблица 1, столбец 2);</w:t>
      </w:r>
    </w:p>
    <w:p>
      <w:pPr>
        <w:numPr>
          <w:ilvl w:val="0"/>
          <w:numId w:val="4"/>
        </w:numPr>
      </w:pPr>
      <w:r>
        <w:rPr/>
        <w:t xml:space="preserve">Форма предоставления и результатов контроля и регистрации инцидентов качества данных (Таблица 2);</w:t>
      </w:r>
    </w:p>
    <w:p>
      <w:pPr>
        <w:numPr>
          <w:ilvl w:val="0"/>
          <w:numId w:val="4"/>
        </w:numPr>
      </w:pPr>
      <w:r>
        <w:rPr/>
        <w:t xml:space="preserve">Форма предоставления результатов контроля конструктивных решений (Таблица 3);</w:t>
      </w:r>
    </w:p>
    <w:p>
      <w:pPr>
        <w:numPr>
          <w:ilvl w:val="0"/>
          <w:numId w:val="4"/>
        </w:numPr>
      </w:pPr>
      <w:r>
        <w:rPr/>
        <w:t xml:space="preserve">Форма предоставления результатов контроля на соответствие классификатору IFC класса (Таблица 4).</w:t>
      </w:r>
    </w:p>
    <w:p>
      <w:pPr/>
      <w:r>
        <w:pict>
          <v:shape type="#_x0000_t75" style="width:559px; height:39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Рисунок 1 – Цифровая информационная модель административно-бытового корпуса (АБК)</w:t>
      </w:r>
    </w:p>
    <w:p>
      <w:pPr/>
      <w:r>
        <w:rPr/>
        <w:t xml:space="preserve">Таблица 1 – Перечень цифровых информационных моделей (ЦИМ)</w:t>
      </w:r>
    </w:p>
    <w:tbl>
      <w:tblGrid>
        <w:gridCol/>
        <w:gridCol/>
        <w:gridCol/>
        <w:gridCol/>
      </w:tblGrid>
      <w:tblPr>
        <w:tblW w:w="5000" w:type="pct"/>
        <w:tblLayout w:type="autofit"/>
        <w:bidiVisual w:val="0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Наименование ЦИМ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Формат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актуальной версии ЦИМ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АБК_АР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Заполните пропуск, ответ №1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Заполните пропуск, ответ №2</w:t>
            </w:r>
          </w:p>
        </w:tc>
      </w:tr>
      <w:tr>
        <w:trPr/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АБК_КР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Заполните пропуск, ответ №3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Заполните пропуск, ответ №4</w:t>
            </w:r>
          </w:p>
        </w:tc>
      </w:tr>
    </w:tbl>
    <w:p>
      <w:pPr/>
      <w:r>
        <w:rPr/>
        <w:t xml:space="preserve"> </w:t>
      </w:r>
    </w:p>
    <w:p>
      <w:pPr>
        <w:jc w:val="start"/>
      </w:pPr>
      <w:r>
        <w:rPr>
          <w:i w:val="1"/>
          <w:iCs w:val="1"/>
        </w:rPr>
        <w:t xml:space="preserve">Ф.И.О. контролера</w:t>
      </w:r>
      <w:r>
        <w:rPr/>
        <w:t xml:space="preserve"> _________</w:t>
      </w:r>
    </w:p>
    <w:p>
      <w:pPr>
        <w:jc w:val="start"/>
      </w:pPr>
      <w:r>
        <w:rPr>
          <w:i w:val="1"/>
          <w:iCs w:val="1"/>
        </w:rPr>
        <w:t xml:space="preserve"> </w:t>
      </w:r>
    </w:p>
    <w:p>
      <w:pPr>
        <w:jc w:val="start"/>
      </w:pPr>
      <w:r>
        <w:rPr>
          <w:i w:val="1"/>
          <w:iCs w:val="1"/>
        </w:rPr>
        <w:t xml:space="preserve">Дата и время заполнения</w:t>
      </w:r>
      <w:r>
        <w:rPr/>
        <w:t xml:space="preserve"> _________</w:t>
      </w:r>
    </w:p>
    <w:p>
      <w:pPr/>
      <w:r>
        <w:rPr/>
        <w:t xml:space="preserve"> </w:t>
      </w:r>
    </w:p>
    <w:p>
      <w:pPr/>
      <w:r>
        <w:rPr/>
        <w:t xml:space="preserve">Таблица 2 – Форма предоставления результатов контроля и регистрации инцидентов качества данных</w:t>
      </w:r>
    </w:p>
    <w:tbl>
      <w:tblGrid>
        <w:gridCol/>
        <w:gridCol/>
        <w:gridCol/>
      </w:tblGrid>
      <w:tblPr>
        <w:tblW w:w="5000" w:type="pct"/>
        <w:tblLayout w:type="autofit"/>
        <w:bidiVisual w:val="0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 Помещения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Наименования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Инцидент качества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 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 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 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 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 </w:t>
            </w:r>
          </w:p>
        </w:tc>
      </w:tr>
    </w:tbl>
    <w:p>
      <w:pPr/>
      <w:r>
        <w:rPr>
          <w:i w:val="1"/>
          <w:iCs w:val="1"/>
        </w:rPr>
        <w:t xml:space="preserve"> </w:t>
      </w:r>
    </w:p>
    <w:p>
      <w:pPr>
        <w:jc w:val="start"/>
      </w:pPr>
      <w:r>
        <w:rPr>
          <w:i w:val="1"/>
          <w:iCs w:val="1"/>
        </w:rPr>
        <w:t xml:space="preserve">Ф.И.О. контролера</w:t>
      </w:r>
      <w:r>
        <w:rPr/>
        <w:t xml:space="preserve"> _________</w:t>
      </w:r>
    </w:p>
    <w:p>
      <w:pPr>
        <w:jc w:val="start"/>
      </w:pPr>
      <w:r>
        <w:rPr>
          <w:i w:val="1"/>
          <w:iCs w:val="1"/>
        </w:rPr>
        <w:t xml:space="preserve"> </w:t>
      </w:r>
    </w:p>
    <w:p>
      <w:pPr>
        <w:jc w:val="start"/>
      </w:pPr>
      <w:r>
        <w:rPr>
          <w:i w:val="1"/>
          <w:iCs w:val="1"/>
        </w:rPr>
        <w:t xml:space="preserve">Дата и время заполнения</w:t>
      </w:r>
      <w:r>
        <w:rPr/>
        <w:t xml:space="preserve"> _________</w:t>
      </w:r>
    </w:p>
    <w:p>
      <w:pPr/>
      <w:r>
        <w:rPr/>
        <w:t xml:space="preserve">Таблица 3 – Форма предоставления результатов контроля конструктивных решений</w:t>
      </w:r>
    </w:p>
    <w:tbl>
      <w:tblGrid>
        <w:gridCol/>
        <w:gridCol/>
      </w:tblGrid>
      <w:tblPr>
        <w:tblW w:w="5000" w:type="pct"/>
        <w:tblLayout w:type="autofit"/>
        <w:bidiVisual w:val="0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Колонна, тип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Габариты колонны, мм</w:t>
            </w:r>
          </w:p>
        </w:tc>
      </w:tr>
      <w:tr>
        <w:trPr/>
        <w:tc>
          <w:tcPr/>
          <w:p>
            <w:pPr/>
            <w:r>
              <w:rPr/>
              <w:t xml:space="preserve">Двутавр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Заполните пропуск, ответ №5</w:t>
            </w:r>
          </w:p>
        </w:tc>
      </w:tr>
    </w:tbl>
    <w:p>
      <w:pPr/>
      <w:r>
        <w:rPr/>
        <w:t xml:space="preserve"> </w:t>
      </w:r>
    </w:p>
    <w:p>
      <w:pPr>
        <w:jc w:val="start"/>
      </w:pPr>
      <w:r>
        <w:rPr>
          <w:i w:val="1"/>
          <w:iCs w:val="1"/>
        </w:rPr>
        <w:t xml:space="preserve">Ф.И.О. контролера</w:t>
      </w:r>
      <w:r>
        <w:rPr/>
        <w:t xml:space="preserve"> _________</w:t>
      </w:r>
    </w:p>
    <w:p>
      <w:pPr>
        <w:jc w:val="start"/>
      </w:pPr>
      <w:r>
        <w:rPr>
          <w:i w:val="1"/>
          <w:iCs w:val="1"/>
        </w:rPr>
        <w:t xml:space="preserve"> </w:t>
      </w:r>
    </w:p>
    <w:p>
      <w:pPr>
        <w:jc w:val="start"/>
      </w:pPr>
      <w:r>
        <w:rPr>
          <w:i w:val="1"/>
          <w:iCs w:val="1"/>
        </w:rPr>
        <w:t xml:space="preserve">Дата и время заполнения</w:t>
      </w:r>
      <w:r>
        <w:rPr/>
        <w:t xml:space="preserve"> _________</w:t>
      </w:r>
    </w:p>
    <w:p>
      <w:pPr>
        <w:jc w:val="start"/>
      </w:pPr>
      <w:r>
        <w:rPr/>
        <w:t xml:space="preserve"> </w:t>
      </w:r>
    </w:p>
    <w:p>
      <w:pPr/>
      <w:r>
        <w:rPr/>
        <w:t xml:space="preserve">Таблица 4 – Форма предоставления результатов контроля на соответствие классификатору IFC класса</w:t>
      </w:r>
    </w:p>
    <w:tbl>
      <w:tblGrid>
        <w:gridCol/>
        <w:gridCol/>
        <w:gridCol/>
        <w:gridCol/>
      </w:tblGrid>
      <w:tblPr>
        <w:tblW w:w="5000" w:type="pct"/>
        <w:tblLayout w:type="autofit"/>
        <w:bidiVisual w:val="0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Обозначение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IfcEntity</w:t>
            </w:r>
            <w:r>
              <w:rPr>
                <w:b w:val="1"/>
                <w:bCs w:val="1"/>
              </w:rPr>
              <w:t xml:space="preserve">, Имя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Наименования уровня (отметки расположения)</w:t>
            </w:r>
          </w:p>
        </w:tc>
        <w:tc>
          <w:tcPr/>
          <w:p>
            <w:pPr/>
            <w:r>
              <w:rPr/>
              <w:t xml:space="preserve">IFC классификация и/или наименование (имени) помещения / оборудования</w:t>
            </w:r>
          </w:p>
        </w:tc>
        <w:tc>
          <w:tcPr/>
          <w:p>
            <w:pPr/>
            <w:r>
              <w:rPr/>
              <w:t xml:space="preserve">Проверка принадлежности к надлежащей IFC классу (сущности)</w:t>
            </w:r>
          </w:p>
        </w:tc>
      </w:tr>
      <w:tr>
        <w:trPr/>
        <w:tc>
          <w:tcPr/>
          <w:p>
            <w:pPr/>
            <w:r>
              <w:rPr/>
              <w:t xml:space="preserve">2.1</w:t>
            </w:r>
          </w:p>
        </w:tc>
        <w:tc>
          <w:tcPr/>
          <w:p>
            <w:pPr/>
            <w:r>
              <w:rPr/>
              <w:t xml:space="preserve">1-ый этаж</w:t>
            </w:r>
          </w:p>
        </w:tc>
        <w:tc>
          <w:tcPr/>
          <w:p>
            <w:pPr/>
            <w:r>
              <w:rPr/>
              <w:t xml:space="preserve">ifcDoor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Заполните пропуск, ответ №6</w:t>
            </w:r>
          </w:p>
        </w:tc>
      </w:tr>
      <w:tr>
        <w:trPr/>
        <w:tc>
          <w:tcPr/>
          <w:p>
            <w:pPr/>
            <w:r>
              <w:rPr/>
              <w:t xml:space="preserve">2.2</w:t>
            </w:r>
          </w:p>
        </w:tc>
        <w:tc>
          <w:tcPr/>
          <w:p>
            <w:pPr/>
            <w:r>
              <w:rPr/>
              <w:t xml:space="preserve">2-ый этаж</w:t>
            </w:r>
          </w:p>
        </w:tc>
        <w:tc>
          <w:tcPr/>
          <w:p>
            <w:pPr/>
            <w:r>
              <w:rPr/>
              <w:t xml:space="preserve">ifcDoor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Заполните пропуск, ответ №7</w:t>
            </w:r>
          </w:p>
        </w:tc>
      </w:tr>
      <w:tr>
        <w:trPr/>
        <w:tc>
          <w:tcPr/>
          <w:p>
            <w:pPr/>
            <w:r>
              <w:rPr/>
              <w:t xml:space="preserve">2.3</w:t>
            </w:r>
          </w:p>
        </w:tc>
        <w:tc>
          <w:tcPr/>
          <w:p>
            <w:pPr/>
            <w:r>
              <w:rPr/>
              <w:t xml:space="preserve">1-ый этаж</w:t>
            </w:r>
          </w:p>
        </w:tc>
        <w:tc>
          <w:tcPr/>
          <w:p>
            <w:pPr/>
            <w:r>
              <w:rPr/>
              <w:t xml:space="preserve">IfcWindow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Заполните пропуск, ответ №8</w:t>
            </w:r>
          </w:p>
        </w:tc>
      </w:tr>
    </w:tbl>
    <w:p>
      <w:pPr/>
      <w:r>
        <w:rPr>
          <w:i w:val="1"/>
          <w:iCs w:val="1"/>
        </w:rPr>
        <w:t xml:space="preserve"> </w:t>
      </w:r>
    </w:p>
    <w:p>
      <w:pPr>
        <w:jc w:val="start"/>
      </w:pPr>
      <w:r>
        <w:rPr>
          <w:i w:val="1"/>
          <w:iCs w:val="1"/>
        </w:rPr>
        <w:t xml:space="preserve">Ф.И.О. контролера</w:t>
      </w:r>
      <w:r>
        <w:rPr/>
        <w:t xml:space="preserve"> _________</w:t>
      </w:r>
    </w:p>
    <w:p>
      <w:pPr>
        <w:jc w:val="start"/>
      </w:pPr>
      <w:r>
        <w:rPr>
          <w:i w:val="1"/>
          <w:iCs w:val="1"/>
        </w:rPr>
        <w:t xml:space="preserve"> </w:t>
      </w:r>
    </w:p>
    <w:p>
      <w:pPr>
        <w:jc w:val="start"/>
      </w:pPr>
      <w:r>
        <w:rPr>
          <w:i w:val="1"/>
          <w:iCs w:val="1"/>
        </w:rPr>
        <w:t xml:space="preserve">Дата и время заполнения</w:t>
      </w:r>
      <w:r>
        <w:rPr/>
        <w:t xml:space="preserve"> _________</w:t>
      </w:r>
    </w:p>
    <w:p>
      <w:pPr/>
      <w:r>
        <w:rPr/>
        <w:t xml:space="preserve"> 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класс/учебный портал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45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проверять комплектность сводной информационной модели объекта железнодорожной инфраструктуры с использованием специализированного программного обеспечения при приемке сводной информационной модели техническим заказчиком (B/01.6)»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CABC6A1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DD69C3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2023-03-22T15:45:07+00:00</dcterms:created>
  <dcterms:modified xsi:type="dcterms:W3CDTF">2023-03-22T15:45:07+00:00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