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5.8 Ограничения автоматических судовых систем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ограничения автоматических судовых систем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International Maritime Organization (2014): Development of an e-navigation strategy implementation plan/Overview of the Maritime Cloud concept Sub-committee on navigation, communications and search and rescue// NCSR 1/INF.X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International Maritime Organization (2009): strategy for the development and implementation of e-navigation, MSC 85/26/Add.1, Annex 20, pp.1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 Методология анализа и синтеза сложных активных технических систем и ее реализация в Системе безопасности судовождения (монография). — Новороссийск : РИО «ГМУ им. адм. Ф.Ф. Ушакова», 2022. — 311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