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7.3 Основные документы по кибербезопасности в морской отрасли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основные документы по кибербезопасности в морской отрасли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0.3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26 июля 2017 г. №      187-ФЗ  «О безопасности критической информационной инфраструктуры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Международный кодекс по охране судов и портовых средств (Кодекс ОСПС), 2-е издание, исправленное и дополненное. - СПб.: ЗАО «ЦНИИМФ», 2009. - 272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Резолюция ИМО MSC-FAL.1/Circ.3 «Руководство по управлению киберрисками в морской отрасли»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 Резолюция А.884(21) «Поправки к Кодексу по расследованию морских аварий и инцидентов»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