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7.17 Политика допустимого использования и Руководство по осведомленности пользователей в киберпространстве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политику допустимого использования и Руководство по осведомленности пользователей в киберпространстве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26 июля 2017 г. №      187-ФЗ  «О безопасности критической информационной инфраструктуры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Резолюция ИМО MSC-FAL.1/Circ.3 «Руководство по управлению киберрисками в морской отрасли»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Резолюция А.884(21) «Поправки к Кодексу по расследованию морских аварий и инцидентов»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