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7.19 План и процедуры судоходной компании по управлению рисками информационной защиты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план и процедуры судоходной компании по управлению рисками информационной защиты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26 июля 2017 г. №      187-ФЗ  «О безопасности критической информационной инфраструктуры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Резолюция ИМО MSC-FAL.1/Circ.3 «Руководство по управлению киберрисками в морской отрасли»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Резолюция А.884(21) «Поправки к Кодексу по расследованию морских аварий и инцидентов»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Астреин В.В., Боран-Кешишьян А.Л. Охрана и безопасность судна. Конспект лекций.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2.2.2 Астреин В.В., Боран-Кешишьян А.Л. Охрана и безопасность судна. Практические работы.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