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4.7 Общие понятия о конкордации, средства минимизации конкордационных рисков при удалённом управлении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понятия о конкордации, средства минимизации конкордационных рисков при удалённом управлении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IALA Maritime Radio Communications Plan, Tech. Rep., December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2.1.3 802.16 IEEE Standard for Local and metropolitan area networks. Part 16: Air Interface for Fixed Broadband Wireless Access Systems // IEEE Computer Society and the IEEE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