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6.5 Требования к повышению осведомленности о кибербезопасности на судне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повышению осведомленности о кибербезопасности на судне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26 июля 2017 г. №      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