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7.4 Нормативно-правовые акты, регламентирующие деятельность СУДС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нормативно-правовые акты, регламентирующие деятельность СУДС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8 ноября 2007 г. №      261-ФЗ  «О морских портах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31 июля 1998 г. №      155-ФЗ  «О внутренних морских водах, территориальном море и прилежащей зоне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Приказ Минтранса России от 12 ноября 2021 г. № 395 «Об утверждении Общих правил плавания и стоянки судов в морских портах Российской Федерации и на подходах к ним»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Приказ Минтранса России от 23 июля 2015 г. № 226 «Об утверждении Требований к радиолокационным системам управления движением судов, объектам инфраструктуры морского порта, необходимым для функционирования Глобальной морской системы связи при бедствии и для обеспечения безопасности, объектам и средствам автоматической информационной системы, службе контроля судоходства и управления судоходством»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"Кодекс торгового мореплавания Российской Федерации" от 30.04.1999 N 81-ФЗ (ред. от 28.06.2022)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Резолюция Международной морской организации (IMO) А.857(20) «Руководство по службам движения судов»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Резолюция IMO MSC.43(64) «Руководство и критерии для систем судовых сообщений»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Резолюция IMO А.851(20) «Общие принципы систем судовых сообщений и требования к судовым сообщениям»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«Руководство по службам движения судов» Международной Ассоциации маячных служб (IALA VTS Manual)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«Рекомендации по внедрению служб движения судов» Международной Ассоциации Маячных Служб (IALA Recommendation V-119)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«Руководство по эксплуатационным процедурам СУДС» Международной Ас-ассоциации маячных служб (IALA Guidelines on VTS Operating Procedures)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«Рекомендации по стандартам подготовки и сертификации операторов служб движения судов» Международной Ассоциации Маячных Служб (IALA Recommendation V-103)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