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7.5 Организация взаимодействия с СУДС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организацию взаимодействия с СУДС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8 ноября 2007 г. №      261-ФЗ  «О морских портах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Федеральный закон от 31 июля 1998 г. №      155-ФЗ  «О внутренних морских водах, территориальном море и прилежащей зоне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Приказ Минтранса России от 12 ноября 2021 г. № 395 «Об утверждении Общих правил плавания и стоянки судов в морских портах Российской Федерации и на подходах к ним»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Приказ Минтранса России от 23 июля 2015 г. № 226 «Об утверждении Требований к радиолокационным системам управления движением судов, объектам инфраструктуры морского порта, необходимым для функционирования Глобальной морской системы связи при бедствии и для обеспечения безопасности, объектам и средствам автоматической информационной системы, службе контроля судоходства и управления судоходством»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 "Кодекс торгового мореплавания Российской Федерации" от 30.04.1999 N 81-ФЗ (ред. от 28.06.2022)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 Международная конвенция по охране человеческой жизни на море 1974 года (СОЛАС-74). (Консолидированный текст), редакция, действующая с 01 января 2020 г.- СПб.: АО «ЦНИИМФ», 2021 г. - 1184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 Резолюция Международной морской организации (IMO) А.857(20) «Руководство по службам движения судов»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 Резолюция IMO MSC.43(64) «Руководство и критерии для систем судовых сообщений»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2.1.9 Резолюция IMO А.851(20) «Общие принципы систем судовых сообщений и требования к судовым сообщениям»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2.1.10 «Руководство по службам движения судов» Международной Ассоциации маячных служб (IALA VTS Manual)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2.1.11 «Рекомендации по внедрению служб движения судов» Международной Ассоциации Маячных Служб (IALA Recommendation V-119)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2.1.12 «Руководство по эксплуатационным процедурам СУДС» Международной Ас-ассоциации маячных служб (IALA Guidelines on VTS Operating Procedures)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2.1.13 «Рекомендации по стандартам подготовки и сертификации операторов служб движения судов» Международной Ассоциации Маячных Служб (IALA Recommendation V-103)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