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 Зоны действия и ответственности "человеческого элемента" в схеме управления МАНС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зоны действия и ответственности "человеческого элемента" в схеме управления МАНС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КТДЛ.01074-01 34 01 РО версия 2.0-2 Программный комплекс «Автономная навигационная система», Руководство оператора,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Законопроект № 48133-8 (проект Федерального Закона) "О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Концепция применения технологии автоматического и дистанционного судовождения «БЭС-КФ», Техническое описание систем и элементов, 2020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