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4.3 Многофункциональный дисплей и элементы управления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многофункциональный дисплей и элементы управления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1.5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Конвенция о Международных правилах предупреждения столкновений судов в море (МППСС-72), Лондон, 20.10.1972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Международный кодекс по управлению безопасностью (МКУБ) и руководства по его выполнению. Изд-во: ЦНИИМФ, Санкт-Петербург, 2014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 Resolution МSС.64(67). Adoption of new and amended performance standards/ Резолюция MSC.64(67) / Принятие новых Эксплуатационных требований и поправок к существующим Эксплуатационным требованиям. London: International maritime organization, 1996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2.1.4 Resolution MSC.86(70)/ Adoption of new and amended performance standards for navigational equipment/ Резолюция MSC.86(70). Принятие новых эксплуатационных требований и поправок к существующим эксплуатационным требованиям, London: International maritime organization, 1998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2.1.5 Resolution A.953(23). World-wide radionavigation system / Резолюция A.953(23). Всемирная радионавигационная система. London: International maritime organization, 2003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2.1.6 Resolution A.1021(26). Сode on alerts and indicators/ Резолюция A.1021(26). Кодекс по извещателям и индикаторам. London: International maritime organization, 2009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2.1.7 MSC/Circ.1061. Guidance for the operational use of integrated bridge systems (IBS)/ Циркулярное письмо MSC.Circ.1061.Руководство по эксплуатации интегрированных систем ходового мостика (ИСМ) London: International maritime organization, 2003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2.1.8 SN.1/Circ.265 Guidelines on the Application of SOLAS Regulation V/15 to INS, IBS and Bridge Design/ Циркулярное письмо SN.1/Circ.265/Rev.1 Руководство по применению правила V/15 конвенции СОЛАС к интегрированной навигационной системе (ИНС), интегрированной системе ходового мостика (ИСМ) и конструкции мостика. London: International maritime organization, 2007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