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4.5 Сигналы тревоги и индикаторы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сигналы тревоги и индикаторы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Международный кодекс по управлению безопасностью (МКУБ) и руководства по его выполнению. Изд-во: ЦНИИМФ, Санкт-Петербург, 2014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Resolution МSС.64(67). Adoption of new and amended performance standards/ Резолюция MSC.64(67) / Принятие новых Эксплуатационных требований и поправок к существующим Эксплуатационным требованиям. London: International maritime organization, 1996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Resolution MSC.86(70)/ Adoption of new and amended performance standards for navigational equipment/ Резолюция MSC.86(70). Принятие новых эксплуатационных требований и поправок к существующим эксплуатационным требованиям, London: International maritime organization, 1998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Resolution A.953(23). World-wide radionavigation system / Резолюция A.953(23). Всемирная радионавигационная система.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Resolution A.1021(26). Сode on alerts and indicators/ Резолюция A.1021(26). Кодекс по извещателям и индикаторам. London: International maritime organization, 2009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MSC/Circ.1061. Guidance for the operational use of integrated bridge systems (IBS)/ Циркулярное письмо MSC.Circ.1061.Руководство по эксплуатации интегрированных систем ходового мостика (ИСМ)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SN.1/Circ.265 Guidelines on the Application of SOLAS Regulation V/15 to INS, IBS and Bridge Design/ Циркулярное письмо SN.1/Circ.265/Rev.1 Руководство по применению правила V/15 конвенции СОЛАС к интегрированной навигационной системе (ИНС), интегрированной системе ходового мостика (ИСМ) и конструкции мостика. London: International maritime organization, 2007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