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4.6 Цель интегрированной навигационной системы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цель интегрированной навигационной системы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КТДЛ.01074-01 34 01 РО версия 2.0-2 Программный комплекс «Автономная навигационная система», Руководство оператора,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Концепция применения технологии автоматического и дистанционного судовождения «БЭС-КФ», Техническое описание систем и элементов, 2020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International Maritime Organization (2014): Development of an e-navigation strategy implementation plan/Overview of the Maritime Cloud concept Sub-committee on navigation, communications and search and rescue// NCSR 1/INF.X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Resolution A.953(23). World-wide radionavigation system / Резолюция A.953(23). Всемирная радионавигационная система. London: International maritime organization, 2003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Resolution A.1021(26). Сode on alerts and indicators/ Резолюция A.1021(26). Кодекс по извещателям и индикаторам. London: International maritime organization, 2009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SN.1/Circ.265 Guidelines on the Application of SOLAS Regulation V/15 to INS, IBS and Bridge Design/ Циркулярное письмо SN.1/Circ.265/Rev.1 Руководство по применению правила V/15 конвенции СОЛАС к интегрированной навигационной системе (ИНС), интегрированной системе ходового мостика (ИСМ) и конструкции мостика. London: International maritime organization, 2007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Наставление по организации штурманской службы на судах 2022 год. Последняя редакция. Изд-во: МОРКНИГА, Москва,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Емельянцев Г.И., Степанов А.П. Интегрированные инерциально-спутниковые системы ориентации и навигации. — Санкт- Петербург : Электроприбор, 2016. — 111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