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5.4 Функции автоматического управления INS(C)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функции автоматического управления INS(C)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Resolution A.953(23). World-wide radionavigation system / Резолюция A.953(23). Всемирная радионавигационная система.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SN.1/Circ.265 Guidelines on the Application of SOLAS Regulation V/15 to INS, IBS and Bridge Design/ Циркулярное письмо SN.1/Circ.265/Rev.1 Руководство по применению правила V/15 конвенции СОЛАС к интегрированной навигационной системе (ИНС), интегрированной системе ходового мостика (ИСМ) и конструкции мостика. London: International maritime organization, 2007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Model course 1.32. Operational use of integrated bridge systems including integrated navigation systems /Типовой курс 1.32. Эксплуатационное использование интегрированных систем мостика, включая интегрированные навигационные системы. London: International maritime organization, 2005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Дмитриев В.И., Григорян В.Л., Катенин В.А. Навигация и лоция. Учебник для вузов. — Москва : ИКЦ «Академкнига», 2015. — 224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Анучин О.Н., Емельянцев Г.И. Интегрированные системы ориентации и навигации для морских подвижных объектов. — Санкт- Петербург : Электроприбор, 2003. — 357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Емельянцев Г.И., Степанов А.П. Интегрированные инерциально-спутниковые системы ориентации и навигации. — Санкт- Петербург : Электроприбор, 2016. — 111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