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7.6 Оборудование СУДС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оборудование СУДС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Resolution MSC.86(70)/ Adoption of new and amended performance standards for navigational equipment/ Резолюция MSC.86(70). Принятие новых эксплуатационных требований и поправок к существующим эксплуатационным требованиям, London: International maritime organization, 1998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MSC/Circ.1061. Guidance for the operational use of integrated bridge systems (IBS)/ Циркулярное письмо MSC.Circ.1061.Руководство по эксплуатации интегрированных систем ходового мостика (ИСМ) London: International maritime organization, 2003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Bridge Procedure Guide, Fifth Edition / Руководство по процедурам на мостике, 5-е издание. London: International Chamber Of Shipping, 2016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Model course 1.32. Operational use of integrated bridge systems including integrated navigation systems /Типовой курс 1.32. Эксплуатационное использование интегрированных систем мостика, включая интегрированные навигационные системы. London: International maritime organization, 2005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Дерябин В.В. Автоматизация судовождения. Учебное пособие. — Санкт- Петербург : Лань, 2020. — 156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Емельянцев Г.И., Степанов А.П. Интегрированные инерциально-спутниковые системы ориентации и навигации. — Санкт- Петербург : Электроприбор, 2016. — 111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