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7.7 Средства обеспечения навигационной безопасности судоходства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средства обеспечения навигационной безопасности судоходства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Международный кодекс по управлению безопасностью (МКУБ) и руководства по его выполнению. Изд-во: ЦНИИМФ, Санкт-Петербург, 2014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MSC/Circ.1061. Guidance for the operational use of integrated bridge systems (IBS)/ Циркулярное письмо MSC.Circ.1061.Руководство по эксплуатации интегрированных систем ходового мостика (ИСМ) London: International maritime organization, 2003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SN.1/Circ.265 Guidelines on the Application of SOLAS Regulation V/15 to INS, IBS and Bridge Design/ Циркулярное письмо SN.1/Circ.265/Rev.1 Руководство по применению правила V/15 конвенции СОЛАС к интегрированной навигационной системе (ИНС), интегрированной системе ходового мостика (ИСМ) и конструкции мостика. London: International maritime organization, 2007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Найденов Е. В., Дмитриев В. И. Безопасное расхождение судов в море. — Москва : МОРКНИГА, 2021. — 264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Мотрич В.Н. Столкновения судов и их предупреждение. Новый взгляд. — Санкт- Петербург : БХВ, 2017. — 352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