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6.1 Назначение модели транспортной системы субъекта Российской Федерации либо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назначение модели транспортной системы субъекта Российской Федерации либо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