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10.6 Порядок согласования КСОТ субъекта Российской Федерации, КСОТ городской агломерации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порядок согласования КСОТ субъекта Российской Федерации, КСОТ городской агломерации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