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6 Основные теоретические принципы решения проблем, связанных с аварийными и предаварийными ситуациями на автономных судах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