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3 Математические основы средств автономности судна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