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common"/>
        </w:rPr>
        <w:t xml:space="preserve">Список участников оценочной сессии Тестовая сессия 27-01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Ф.И.О.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Филиал, подразделение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Должность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Контакты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Роль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Гринчар Николай Николаевич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Российский университет транспорта, 2d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3f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navydragon@inbox.ru, 1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Участник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Костюлин Иван Алексеевич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Российский университет транспорта, ИЭФ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Инженер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ivan-kostyulin@yandex.ru, 89257816485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Участник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test test test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Департамент охраны труда, промышленной безопасности и экологического контроля, 1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2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test@test.ru, 11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Участник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4"/>
      <w:szCs w:val="24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100" w:type="auto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2021-03-16T15:38:47+03:00</dcterms:created>
  <dcterms:modified xsi:type="dcterms:W3CDTF">2021-03-16T15:38:47+03:00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