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center"/>
        <w:rPr>
          <w:b w:val="1"/>
        </w:rPr>
      </w:pPr>
      <w:r>
        <w:rPr>
          <w:b w:val="1"/>
        </w:rPr>
        <w:t>Инструкция по работе в системе тестирования при назначении на должность по охране труда (для ответственных от филиалов ОАО «РЖД»)</w:t>
      </w:r>
    </w:p>
    <w:p w14:paraId="02000000">
      <w:pPr>
        <w:pStyle w:val="Style_1"/>
        <w:ind/>
        <w:jc w:val="center"/>
        <w:rPr>
          <w:b w:val="1"/>
        </w:rPr>
      </w:pPr>
    </w:p>
    <w:p w14:paraId="03000000">
      <w:pPr>
        <w:pStyle w:val="Style_1"/>
        <w:ind/>
        <w:jc w:val="center"/>
        <w:rPr>
          <w:b w:val="1"/>
        </w:rPr>
      </w:pPr>
    </w:p>
    <w:p>
      <w:pPr>
        <w:pStyle w:val="Style_2"/>
        <w:tabs>
          <w:tab w:leader="dot" w:pos="986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"__RefHeading___2"</w:instrText>
      </w:r>
      <w:r>
        <w:fldChar w:fldCharType="separate"/>
      </w:r>
      <w:r>
        <w:t>Адрес системы и авторизация</w:t>
      </w:r>
      <w:r>
        <w:tab/>
      </w:r>
      <w:r>
        <w:fldChar w:dirty="1" w:fldCharType="begin"/>
      </w:r>
      <w:r>
        <w:instrText>PAGEREF __RefHeading___2 \h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000000">
      <w:pPr>
        <w:pStyle w:val="Style_2"/>
        <w:tabs>
          <w:tab w:leader="dot" w:pos="986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Общее описание процесса тестирования при назначении на должность</w:t>
      </w:r>
      <w:r>
        <w:tab/>
      </w:r>
      <w:r>
        <w:fldChar w:dirty="1" w:fldCharType="begin"/>
      </w:r>
      <w:r>
        <w:instrText>PAGEREF __RefHeading___3 \h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6000000">
      <w:pPr>
        <w:pStyle w:val="Style_2"/>
        <w:tabs>
          <w:tab w:leader="dot" w:pos="986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Создание нового пользователя</w:t>
      </w:r>
      <w:r>
        <w:tab/>
      </w:r>
      <w:r>
        <w:fldChar w:dirty="1" w:fldCharType="begin"/>
      </w:r>
      <w:r>
        <w:instrText>PAGEREF __RefHeading___4 \h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7000000">
      <w:pPr>
        <w:pStyle w:val="Style_2"/>
        <w:tabs>
          <w:tab w:leader="dot" w:pos="9865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Прохождение тестирования</w:t>
      </w:r>
      <w:r>
        <w:tab/>
      </w:r>
      <w:r>
        <w:fldChar w:dirty="1" w:fldCharType="begin"/>
      </w:r>
      <w:r>
        <w:instrText>PAGEREF __RefHeading___5 \h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000000">
      <w:pPr>
        <w:pStyle w:val="Style_2"/>
        <w:tabs>
          <w:tab w:leader="dot" w:pos="9865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>Просмотр результатов и печать протокола</w:t>
      </w:r>
      <w:r>
        <w:tab/>
      </w:r>
      <w:r>
        <w:fldChar w:dirty="1" w:fldCharType="begin"/>
      </w:r>
      <w:r>
        <w:instrText>PAGEREF __RefHeading___6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fldChar w:fldCharType="end"/>
      </w:r>
    </w:p>
    <w:p w14:paraId="0A000000"/>
    <w:p w14:paraId="0B000000">
      <w:bookmarkStart w:id="1" w:name="__RefHeading___2"/>
      <w:bookmarkEnd w:id="1"/>
      <w:pPr>
        <w:pStyle w:val="Style_3"/>
      </w:pPr>
      <w:r>
        <w:t>Адрес системы и авторизация</w:t>
      </w:r>
    </w:p>
    <w:p w14:paraId="0C000000">
      <w:pPr>
        <w:pStyle w:val="Style_1"/>
      </w:pPr>
    </w:p>
    <w:p w14:paraId="0D000000">
      <w:pPr>
        <w:pStyle w:val="Style_1"/>
      </w:pPr>
      <w:r>
        <w:t xml:space="preserve">Адрес системы в сети интернет: </w:t>
      </w:r>
      <w:r>
        <w:rPr>
          <w:rStyle w:val="Style_4_ch"/>
        </w:rPr>
        <w:fldChar w:fldCharType="begin"/>
      </w:r>
      <w:r>
        <w:rPr>
          <w:rStyle w:val="Style_4_ch"/>
        </w:rPr>
        <w:instrText>HYPERLINK "https://kst.emiit.ru"</w:instrText>
      </w:r>
      <w:r>
        <w:rPr>
          <w:rStyle w:val="Style_4_ch"/>
        </w:rPr>
        <w:fldChar w:fldCharType="separate"/>
      </w:r>
      <w:r>
        <w:rPr>
          <w:rStyle w:val="Style_4_ch"/>
        </w:rPr>
        <w:t>https://kst.emiit.ru</w:t>
      </w:r>
      <w:r>
        <w:rPr>
          <w:rStyle w:val="Style_4_ch"/>
        </w:rPr>
        <w:fldChar w:fldCharType="end"/>
      </w:r>
      <w:r>
        <w:t xml:space="preserve"> </w:t>
      </w:r>
    </w:p>
    <w:p w14:paraId="0E000000">
      <w:pPr>
        <w:pStyle w:val="Style_1"/>
      </w:pPr>
      <w:r>
        <w:t>Стартовая страница (рис. 1) включает в себя следующие элементы:</w:t>
      </w:r>
    </w:p>
    <w:p w14:paraId="0F000000">
      <w:pPr>
        <w:pStyle w:val="Style_1"/>
        <w:numPr>
          <w:numId w:val="1"/>
        </w:numPr>
      </w:pPr>
      <w:r>
        <w:t>Поле для ввода логина</w:t>
      </w:r>
    </w:p>
    <w:p w14:paraId="10000000">
      <w:pPr>
        <w:pStyle w:val="Style_1"/>
        <w:numPr>
          <w:numId w:val="1"/>
        </w:numPr>
      </w:pPr>
      <w:r>
        <w:t>Поле для ввода пароля</w:t>
      </w:r>
    </w:p>
    <w:p w14:paraId="11000000">
      <w:pPr>
        <w:pStyle w:val="Style_1"/>
        <w:numPr>
          <w:numId w:val="1"/>
        </w:numPr>
      </w:pPr>
      <w:r>
        <w:t>Кнопка вход</w:t>
      </w:r>
    </w:p>
    <w:p w14:paraId="12000000">
      <w:pPr>
        <w:pStyle w:val="Style_1"/>
        <w:numPr>
          <w:numId w:val="1"/>
        </w:numPr>
      </w:pPr>
      <w:r>
        <w:t>Пояснение о действиях в случае отсутствия пароля</w:t>
      </w:r>
    </w:p>
    <w:p w14:paraId="13000000">
      <w:pPr>
        <w:pStyle w:val="Style_5"/>
      </w:pPr>
      <w:r>
        <w:drawing>
          <wp:inline>
            <wp:extent cx="6264372" cy="3070194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372" cy="30701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000000">
      <w:pPr>
        <w:pStyle w:val="Style_5"/>
      </w:pPr>
      <w:r>
        <w:t>Рисунок 1 – Стартовая страница системы</w:t>
      </w:r>
    </w:p>
    <w:p w14:paraId="15000000">
      <w:pPr>
        <w:pStyle w:val="Style_5"/>
      </w:pPr>
    </w:p>
    <w:p w14:paraId="16000000">
      <w:pPr>
        <w:pStyle w:val="Style_1"/>
      </w:pPr>
      <w:r>
        <w:t>Логин и пароль а</w:t>
      </w:r>
      <w:r>
        <w:t>дминистратор филиала</w:t>
      </w:r>
      <w:r>
        <w:t xml:space="preserve"> можно получить у технической поддержки. Логин и пароль сотрудникам, которые должны проходить тестирование, выдает а</w:t>
      </w:r>
      <w:r>
        <w:t>дминистратор филиала</w:t>
      </w:r>
      <w:r>
        <w:t>.</w:t>
      </w:r>
    </w:p>
    <w:p w14:paraId="17000000">
      <w:pPr>
        <w:pStyle w:val="Style_1"/>
      </w:pPr>
      <w:r>
        <w:t>Для авторизации в системе необходимо ввести логин и пароль и нажать на кнопку «Войти».</w:t>
      </w:r>
    </w:p>
    <w:p w14:paraId="18000000">
      <w:pPr>
        <w:pStyle w:val="Style_1"/>
      </w:pPr>
    </w:p>
    <w:p w14:paraId="19000000">
      <w:bookmarkStart w:id="2" w:name="__RefHeading___3"/>
      <w:bookmarkEnd w:id="2"/>
      <w:pPr>
        <w:pStyle w:val="Style_3"/>
      </w:pPr>
      <w:r>
        <w:t>Общее описание процесса тестирования при назначении на должность</w:t>
      </w:r>
    </w:p>
    <w:p w14:paraId="1A000000">
      <w:pPr>
        <w:pStyle w:val="Style_1"/>
        <w:numPr>
          <w:numId w:val="2"/>
        </w:numPr>
      </w:pPr>
      <w:r>
        <w:t>Администратор филиала</w:t>
      </w:r>
      <w:r>
        <w:t xml:space="preserve"> создает в системе пользователя, указав необходимые параметры тестирования;</w:t>
      </w:r>
    </w:p>
    <w:p w14:paraId="1B000000">
      <w:pPr>
        <w:pStyle w:val="Style_1"/>
        <w:numPr>
          <w:numId w:val="2"/>
        </w:numPr>
      </w:pPr>
      <w:r>
        <w:t>Администратор филиала</w:t>
      </w:r>
      <w:r>
        <w:t xml:space="preserve"> передает тестируемому данные для входа в систему;</w:t>
      </w:r>
    </w:p>
    <w:p w14:paraId="1C000000">
      <w:pPr>
        <w:pStyle w:val="Style_1"/>
        <w:numPr>
          <w:numId w:val="2"/>
        </w:numPr>
      </w:pPr>
      <w:r>
        <w:t>Прохождение тестирования</w:t>
      </w:r>
    </w:p>
    <w:p w14:paraId="1D000000">
      <w:pPr>
        <w:pStyle w:val="Style_1"/>
        <w:numPr>
          <w:numId w:val="2"/>
        </w:numPr>
      </w:pPr>
      <w:r>
        <w:t>Просмотр результатов и печать протокола</w:t>
      </w:r>
    </w:p>
    <w:p w14:paraId="1E000000">
      <w:bookmarkStart w:id="3" w:name="__RefHeading___4"/>
      <w:bookmarkEnd w:id="3"/>
      <w:pPr>
        <w:pStyle w:val="Style_3"/>
      </w:pPr>
      <w:r>
        <w:t>Создание нового пользователя</w:t>
      </w:r>
    </w:p>
    <w:p w14:paraId="1F000000">
      <w:pPr>
        <w:pStyle w:val="Style_1"/>
      </w:pPr>
      <w:r>
        <w:t>Создать пользователя для тестирования может только пользователь с ролью «Администратор филиала»</w:t>
      </w:r>
    </w:p>
    <w:p w14:paraId="20000000">
      <w:pPr>
        <w:pStyle w:val="Style_1"/>
      </w:pPr>
      <w:r>
        <w:t>Экран системы для Администратора филиала (рис.2) включает в себя следующие элементы:</w:t>
      </w:r>
    </w:p>
    <w:p w14:paraId="21000000">
      <w:pPr>
        <w:pStyle w:val="Style_1"/>
        <w:numPr>
          <w:numId w:val="3"/>
        </w:numPr>
      </w:pPr>
      <w:r>
        <w:t xml:space="preserve">Вкладка «Тестирование» </w:t>
      </w:r>
    </w:p>
    <w:p w14:paraId="22000000">
      <w:pPr>
        <w:pStyle w:val="Style_1"/>
        <w:numPr>
          <w:numId w:val="3"/>
        </w:numPr>
      </w:pPr>
      <w:r>
        <w:t>Вкладка «Результаты»</w:t>
      </w:r>
    </w:p>
    <w:p w14:paraId="23000000">
      <w:pPr>
        <w:pStyle w:val="Style_1"/>
        <w:numPr>
          <w:numId w:val="3"/>
        </w:numPr>
      </w:pPr>
      <w:r>
        <w:t>Вкладка «Управление»</w:t>
      </w:r>
    </w:p>
    <w:p w14:paraId="24000000">
      <w:pPr>
        <w:pStyle w:val="Style_1"/>
        <w:numPr>
          <w:numId w:val="3"/>
        </w:numPr>
      </w:pPr>
      <w:r>
        <w:t>Кнопка «Выход»</w:t>
      </w:r>
    </w:p>
    <w:p w14:paraId="25000000">
      <w:pPr>
        <w:pStyle w:val="Style_5"/>
      </w:pPr>
      <w:r>
        <w:drawing>
          <wp:inline>
            <wp:extent cx="6264372" cy="3488922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372" cy="34889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000000">
      <w:pPr>
        <w:pStyle w:val="Style_5"/>
      </w:pPr>
      <w:r>
        <w:t>Рисунок 2 - Доступные вкладки для Администратора филиала</w:t>
      </w:r>
    </w:p>
    <w:p w14:paraId="27000000">
      <w:pPr>
        <w:pStyle w:val="Style_1"/>
      </w:pPr>
      <w:r>
        <w:t>Для того, чтобы создать нового пользователя, необходимо перейти на вкладку «Управление» (рис.3).</w:t>
      </w:r>
    </w:p>
    <w:p w14:paraId="28000000">
      <w:pPr>
        <w:pStyle w:val="Style_1"/>
      </w:pPr>
      <w:r>
        <w:t>На вкладке доступны следующие операции (рис.4):</w:t>
      </w:r>
    </w:p>
    <w:p w14:paraId="29000000">
      <w:pPr>
        <w:pStyle w:val="Style_1"/>
        <w:numPr>
          <w:numId w:val="4"/>
        </w:numPr>
      </w:pPr>
      <w:r>
        <w:t>Добавить нового пользователя</w:t>
      </w:r>
    </w:p>
    <w:p w14:paraId="2A000000">
      <w:pPr>
        <w:pStyle w:val="Style_1"/>
        <w:numPr>
          <w:numId w:val="4"/>
        </w:numPr>
      </w:pPr>
      <w:r>
        <w:t>Редактировать данные пользователя</w:t>
      </w:r>
    </w:p>
    <w:p w14:paraId="2B000000">
      <w:pPr>
        <w:pStyle w:val="Style_1"/>
        <w:numPr>
          <w:numId w:val="4"/>
        </w:numPr>
      </w:pPr>
      <w:r>
        <w:t>Экспорт данных пользователя (логин  и пароль)</w:t>
      </w:r>
    </w:p>
    <w:p w14:paraId="2C000000">
      <w:pPr>
        <w:pStyle w:val="Style_5"/>
      </w:pPr>
      <w:r>
        <w:drawing>
          <wp:inline>
            <wp:extent cx="6264372" cy="2169463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264372" cy="21694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000000">
      <w:pPr>
        <w:pStyle w:val="Style_5"/>
      </w:pPr>
      <w:r>
        <w:t>Рисунок 3 - Вкладка «Управление»</w:t>
      </w:r>
    </w:p>
    <w:p w14:paraId="2E000000">
      <w:pPr>
        <w:pStyle w:val="Style_5"/>
      </w:pPr>
    </w:p>
    <w:p w14:paraId="2F000000">
      <w:pPr>
        <w:pStyle w:val="Style_1"/>
      </w:pPr>
      <w:r>
        <w:t>Чтобы добавить нового пользователя, необходимо нажать кнопку «Добавить пользователя».</w:t>
      </w:r>
    </w:p>
    <w:p w14:paraId="30000000">
      <w:pPr>
        <w:pStyle w:val="Style_1"/>
      </w:pPr>
      <w:r>
        <w:t xml:space="preserve">В открывшемся окне (рис.4) необходимо заполнить по сотруднику который будет проходить тестирование следующие атрибуты: </w:t>
      </w:r>
      <w:r>
        <w:t>Фамилия, Имя, Отчество, Подразделение (в которое назначается сотрудник), Должность (на которую назначается сотрудник).</w:t>
      </w:r>
    </w:p>
    <w:p w14:paraId="31000000">
      <w:pPr>
        <w:pStyle w:val="Style_5"/>
      </w:pPr>
      <w:r>
        <w:drawing>
          <wp:inline>
            <wp:extent cx="6264372" cy="3791462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264372" cy="37914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000000">
      <w:pPr>
        <w:pStyle w:val="Style_5"/>
      </w:pPr>
      <w:r>
        <w:t>Рисунок 4 – Окно создания нового пользователя</w:t>
      </w:r>
    </w:p>
    <w:p w14:paraId="33000000">
      <w:pPr>
        <w:pStyle w:val="Style_1"/>
      </w:pPr>
      <w:r>
        <w:t>Также, необходимо указать, какое количество попыток будет доступно для тестирования, нужно ли открыть тренировочные попытки. По тренирвочным попыткам результат не фиксируется.</w:t>
      </w:r>
    </w:p>
    <w:p w14:paraId="34000000">
      <w:pPr>
        <w:pStyle w:val="Style_1"/>
      </w:pPr>
      <w:r>
        <w:t>Также в некоторых случаях необходима фотофиксация при прохождении тестирования. В таком случае укажите это, выбрать соответствующие параметр. Обращаем внимание, что для фотофиксации на устройстве сотрудника должна быть подключена веб-камера.</w:t>
      </w:r>
    </w:p>
    <w:p w14:paraId="35000000">
      <w:pPr>
        <w:pStyle w:val="Style_1"/>
      </w:pPr>
      <w:r>
        <w:t xml:space="preserve">Добавив пользователя, Вы можете нажать на кнопку «Экспорт данных», скачается документ, содержащий всю необходимую информацию для прохождения тестирования. </w:t>
      </w:r>
    </w:p>
    <w:p w14:paraId="36000000">
      <w:pPr>
        <w:pStyle w:val="Style_1"/>
      </w:pPr>
    </w:p>
    <w:p w14:paraId="37000000">
      <w:bookmarkStart w:id="4" w:name="__RefHeading___5"/>
      <w:bookmarkEnd w:id="4"/>
      <w:pPr>
        <w:pStyle w:val="Style_3"/>
      </w:pPr>
      <w:r>
        <w:t>Прохождение тестирования</w:t>
      </w:r>
    </w:p>
    <w:p w14:paraId="38000000">
      <w:pPr>
        <w:pStyle w:val="Style_1"/>
      </w:pPr>
      <w:r>
        <w:t>Когда сотрудник, который проходит тестирование вводит логин и пароль, ему доступна только одна вкладка «Тестирование» (рис.5).</w:t>
      </w:r>
    </w:p>
    <w:p w14:paraId="39000000">
      <w:pPr>
        <w:pStyle w:val="Style_5"/>
      </w:pPr>
      <w:r>
        <w:br w:type="page"/>
      </w:r>
    </w:p>
    <w:p w14:paraId="3A000000">
      <w:pPr>
        <w:pStyle w:val="Style_1"/>
      </w:pPr>
      <w:r>
        <w:t xml:space="preserve">На вкладке доступны следующие операции </w:t>
      </w:r>
      <w:r>
        <w:t>:</w:t>
      </w:r>
    </w:p>
    <w:p w14:paraId="3B000000">
      <w:pPr>
        <w:pStyle w:val="Style_1"/>
        <w:numPr>
          <w:numId w:val="5"/>
        </w:numPr>
      </w:pPr>
      <w:r>
        <w:t>Начать тестирование – использовать попытку тестирования и начать тест</w:t>
      </w:r>
    </w:p>
    <w:p w14:paraId="3C000000">
      <w:pPr>
        <w:pStyle w:val="Style_1"/>
        <w:numPr>
          <w:numId w:val="5"/>
        </w:numPr>
      </w:pPr>
      <w:r>
        <w:t>Тренировка – если при создании пользователю были открыты тренировочные попытки, он может попробовать пройти тест без фиксирования результатов.</w:t>
      </w:r>
    </w:p>
    <w:p w14:paraId="3D000000">
      <w:pPr>
        <w:pStyle w:val="Style_5"/>
      </w:pPr>
      <w:r>
        <w:drawing>
          <wp:inline>
            <wp:extent cx="6264372" cy="3436281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264372" cy="34362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000">
      <w:pPr>
        <w:pStyle w:val="Style_5"/>
      </w:pPr>
      <w:r>
        <w:t>Рисунок 5 – Вкладка Тестирование</w:t>
      </w:r>
    </w:p>
    <w:p w14:paraId="3F000000">
      <w:bookmarkStart w:id="5" w:name="__RefHeading___6"/>
      <w:bookmarkEnd w:id="5"/>
      <w:pPr>
        <w:pStyle w:val="Style_3"/>
      </w:pPr>
      <w:r>
        <w:t>Просмотр результатов и печать протокола</w:t>
      </w:r>
    </w:p>
    <w:p w14:paraId="40000000">
      <w:pPr>
        <w:pStyle w:val="Style_1"/>
      </w:pPr>
      <w:r>
        <w:t>Просмотреть результаты и распечатать протокол может только пользователь с ролью «Администратор филиала».</w:t>
      </w:r>
    </w:p>
    <w:p w14:paraId="41000000">
      <w:pPr>
        <w:pStyle w:val="Style_1"/>
      </w:pPr>
      <w:r>
        <w:t>Для этого необходимо перейти на вкладку «Результаты».</w:t>
      </w:r>
    </w:p>
    <w:p w14:paraId="42000000">
      <w:pPr>
        <w:pStyle w:val="Style_1"/>
      </w:pPr>
    </w:p>
    <w:p w14:paraId="43000000">
      <w:pPr>
        <w:pStyle w:val="Style_1"/>
      </w:pPr>
      <w:r>
        <w:t xml:space="preserve">На вкладке доступны следующие операции </w:t>
      </w:r>
      <w:r>
        <w:t>(рис.6)</w:t>
      </w:r>
      <w:r>
        <w:t>:</w:t>
      </w:r>
    </w:p>
    <w:p w14:paraId="44000000">
      <w:pPr>
        <w:pStyle w:val="Style_1"/>
        <w:numPr>
          <w:numId w:val="6"/>
        </w:numPr>
      </w:pPr>
      <w:r>
        <w:t>Кнопка «Показать попытки» – раскрыть список пройденных пользователем попыток.</w:t>
      </w:r>
    </w:p>
    <w:p w14:paraId="45000000">
      <w:pPr>
        <w:pStyle w:val="Style_1"/>
        <w:numPr>
          <w:numId w:val="6"/>
        </w:numPr>
      </w:pPr>
      <w:r>
        <w:t>Кнопка «Экспорт результатов» – получить общую таблицу, где будут записаны все попытки пользователя и его результаты.</w:t>
      </w:r>
    </w:p>
    <w:p w14:paraId="46000000">
      <w:pPr>
        <w:pStyle w:val="Style_1"/>
        <w:numPr>
          <w:numId w:val="6"/>
        </w:numPr>
      </w:pPr>
      <w:r>
        <w:t>Кнопки «Экспорт протокола» (напротив каждой попытки) – экспортировать стандартный протокол о прохождении тестирования.</w:t>
      </w:r>
    </w:p>
    <w:p w14:paraId="47000000">
      <w:pPr>
        <w:pStyle w:val="Style_1"/>
      </w:pPr>
    </w:p>
    <w:p w14:paraId="48000000">
      <w:pPr>
        <w:pStyle w:val="Style_5"/>
      </w:pPr>
      <w:r>
        <w:drawing>
          <wp:inline>
            <wp:extent cx="6264372" cy="3432845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264372" cy="34328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000000">
      <w:pPr>
        <w:pStyle w:val="Style_5"/>
      </w:pPr>
      <w:r>
        <w:t xml:space="preserve">Рисунок 6 - Вкладка «Результаты» 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3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4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5">
    <w:lvl w:ilvl="0">
      <w:start w:val="1"/>
      <w:numFmt w:val="decimal"/>
      <w:lvlText w:val="%1)"/>
      <w:pPr>
        <w:ind w:hanging="360" w:left="720"/>
      </w:pPr>
    </w:lvl>
    <w:lvl w:ilvl="1">
      <w:start w:val="1"/>
      <w:numFmt w:val="russianLower"/>
      <w:lvlText w:val="%2)"/>
      <w:pPr>
        <w:ind w:hanging="360" w:left="1440"/>
      </w:pPr>
    </w:lvl>
    <w:lvl w:ilvl="2">
      <w:start w:val="1"/>
      <w:numFmt w:val="lowerRoman"/>
      <w:lvlText w:val="%3)"/>
      <w:lvlJc w:val="right"/>
      <w:pPr>
        <w:ind w:hanging="360" w:left="2160"/>
      </w:pPr>
    </w:lvl>
    <w:lvl w:ilvl="3">
      <w:start w:val="1"/>
      <w:numFmt w:val="decimal"/>
      <w:lvlText w:val="%4)"/>
      <w:pPr>
        <w:ind w:hanging="360" w:left="2880"/>
      </w:pPr>
    </w:lvl>
    <w:lvl w:ilvl="4">
      <w:start w:val="1"/>
      <w:numFmt w:val="russianLower"/>
      <w:lvlText w:val="%5)"/>
      <w:pPr>
        <w:ind w:hanging="360" w:left="3600"/>
      </w:pPr>
    </w:lvl>
    <w:lvl w:ilvl="5">
      <w:start w:val="1"/>
      <w:numFmt w:val="lowerRoman"/>
      <w:lvlText w:val="%6)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russianLow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after="0" w:before="0" w:line="276" w:lineRule="auto"/>
      <w:ind w:firstLine="709" w:left="0" w:right="0"/>
      <w:jc w:val="both"/>
    </w:pPr>
    <w:rPr>
      <w:rFonts w:ascii="XO Thames" w:hAnsi="XO Thames"/>
      <w:color w:val="000000"/>
      <w:spacing w:val="0"/>
      <w:sz w:val="28"/>
    </w:rPr>
  </w:style>
  <w:style w:default="1" w:styleId="Style_1_ch" w:type="character">
    <w:name w:val="Normal"/>
    <w:link w:val="Style_1"/>
    <w:rPr>
      <w:rFonts w:ascii="XO Thames" w:hAnsi="XO Thames"/>
      <w:color w:val="000000"/>
      <w:spacing w:val="0"/>
      <w:sz w:val="28"/>
    </w:rPr>
  </w:style>
  <w:style w:styleId="Style_6" w:type="paragraph">
    <w:name w:val="toc 2"/>
    <w:next w:val="Style_1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1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1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1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heading 3"/>
    <w:next w:val="Style_1"/>
    <w:link w:val="Style_10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0_ch" w:type="character">
    <w:name w:val="heading 3"/>
    <w:link w:val="Style_10"/>
    <w:rPr>
      <w:rFonts w:ascii="XO Thames" w:hAnsi="XO Thames"/>
      <w:b w:val="1"/>
      <w:sz w:val="26"/>
    </w:rPr>
  </w:style>
  <w:style w:styleId="Style_5" w:type="paragraph">
    <w:name w:val="Стиль1"/>
    <w:link w:val="Style_5_ch"/>
    <w:pPr>
      <w:spacing w:after="0" w:before="0" w:line="276" w:lineRule="auto"/>
      <w:ind w:firstLine="0" w:left="0" w:right="0"/>
      <w:jc w:val="center"/>
    </w:pPr>
    <w:rPr>
      <w:rFonts w:ascii="XO Thames" w:hAnsi="XO Thames"/>
      <w:color w:val="000000"/>
      <w:spacing w:val="0"/>
      <w:sz w:val="28"/>
    </w:rPr>
  </w:style>
  <w:style w:styleId="Style_5_ch" w:type="character">
    <w:name w:val="Стиль1"/>
    <w:link w:val="Style_5"/>
    <w:rPr>
      <w:rFonts w:ascii="XO Thames" w:hAnsi="XO Thames"/>
      <w:color w:val="000000"/>
      <w:spacing w:val="0"/>
      <w:sz w:val="28"/>
    </w:rPr>
  </w:style>
  <w:style w:styleId="Style_11" w:type="paragraph">
    <w:name w:val="toc 3"/>
    <w:next w:val="Style_1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1"/>
    <w:link w:val="Style_1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3" w:type="paragraph">
    <w:name w:val="heading 1"/>
    <w:next w:val="Style_1"/>
    <w:link w:val="Style_3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3_ch" w:type="character">
    <w:name w:val="heading 1"/>
    <w:link w:val="Style_3"/>
    <w:rPr>
      <w:rFonts w:ascii="XO Thames" w:hAnsi="XO Thames"/>
      <w:b w:val="1"/>
      <w:sz w:val="32"/>
    </w:rPr>
  </w:style>
  <w:style w:styleId="Style_4" w:type="paragraph">
    <w:name w:val="Hyperlink"/>
    <w:link w:val="Style_4_ch"/>
    <w:rPr>
      <w:color w:val="0000FF"/>
      <w:u w:val="single"/>
    </w:rPr>
  </w:style>
  <w:style w:styleId="Style_4_ch" w:type="character">
    <w:name w:val="Hyperlink"/>
    <w:link w:val="Style_4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2" w:type="paragraph">
    <w:name w:val="toc 1"/>
    <w:next w:val="Style_1"/>
    <w:link w:val="Style_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_ch" w:type="character">
    <w:name w:val="toc 1"/>
    <w:link w:val="Style_2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1" Target="webSettings.xml" Type="http://schemas.openxmlformats.org/officeDocument/2006/relationships/webSettings"/>
  <Relationship Id="rId10" Target="stylesWithEffects.xml" Type="http://schemas.microsoft.com/office/2007/relationships/stylesWithEffects"/>
  <Relationship Id="rId7" Target="fontTable.xml" Type="http://schemas.openxmlformats.org/officeDocument/2006/relationships/fontTable"/>
  <Relationship Id="rId6" Target="media/6.png" Type="http://schemas.openxmlformats.org/officeDocument/2006/relationships/image"/>
  <Relationship Id="rId13" Target="numbering.xml" Type="http://schemas.openxmlformats.org/officeDocument/2006/relationships/numbering"/>
  <Relationship Id="rId9" Target="styles.xml" Type="http://schemas.openxmlformats.org/officeDocument/2006/relationships/styles"/>
  <Relationship Id="rId5" Target="media/5.png" Type="http://schemas.openxmlformats.org/officeDocument/2006/relationships/image"/>
  <Relationship Id="rId8" Target="settings.xml" Type="http://schemas.openxmlformats.org/officeDocument/2006/relationships/settings"/>
  <Relationship Id="rId4" Target="media/4.png" Type="http://schemas.openxmlformats.org/officeDocument/2006/relationships/image"/>
  <Relationship Id="rId12" Target="theme/theme1.xml" Type="http://schemas.openxmlformats.org/officeDocument/2006/relationships/them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2022-03-28T10:01:53Z</dcterms:modified>
</cp:coreProperties>
</file>