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pPr>
      <w:r>
        <w:rPr>
          <w:rFonts w:ascii="Calibri" w:hAnsi="Calibri"/>
          <w:b/>
          <w:color w:val="0F172A"/>
          <w:sz w:val="52"/>
        </w:rPr>
        <w:t>OmniDash Business Intelligence</w:t>
      </w:r>
    </w:p>
    <w:p>
      <w:pPr>
        <w:spacing w:before="0" w:after="240"/>
      </w:pPr>
      <w:r>
        <w:rPr>
          <w:rFonts w:ascii="Calibri" w:hAnsi="Calibri"/>
          <w:color w:val="2563EB"/>
          <w:sz w:val="28"/>
        </w:rPr>
        <w:t>End-to-End User Guide, Feature Deep-Dive &amp; Architecture Reference</w:t>
      </w:r>
    </w:p>
    <w:tbl>
      <w:tblPr>
        <w:tblW w:type="auto" w:w="0"/>
        <w:jc w:val="center"/>
        <w:tblLayout w:type="fixed"/>
        <w:tblLook w:firstColumn="1" w:firstRow="1" w:lastColumn="0" w:lastRow="0" w:noHBand="0" w:noVBand="1" w:val="04A0"/>
      </w:tblPr>
      <w:tblGrid>
        <w:gridCol w:w="9360"/>
      </w:tblGrid>
      <w:tr>
        <w:tc>
          <w:tcPr>
            <w:tcW w:type="dxa" w:w="9936"/>
            <w:shd w:fill="F1F5F9"/>
            <w:tcMar>
              <w:top w:w="120" w:type="dxa"/>
              <w:bottom w:w="120" w:type="dxa"/>
              <w:left w:w="180" w:type="dxa"/>
              <w:right w:w="180" w:type="dxa"/>
            </w:tcMar>
            <w:tcBorders>
              <w:left w:val="single" w:sz="24" w:space="0" w:color="2563EB"/>
              <w:top w:val="none"/>
              <w:right w:val="none"/>
              <w:bottom w:val="none"/>
            </w:tcBorders>
          </w:tcPr>
          <w:p>
            <w:pPr>
              <w:spacing w:before="40" w:after="40" w:line="276" w:lineRule="auto"/>
            </w:pPr>
            <w:r>
              <w:rPr>
                <w:rFonts w:ascii="Calibri" w:hAnsi="Calibri"/>
                <w:b/>
                <w:color w:val="2563EB"/>
                <w:sz w:val="20"/>
              </w:rPr>
              <w:t xml:space="preserve">DOCUMENT METADATA: </w:t>
            </w:r>
            <w:r>
              <w:rPr>
                <w:rFonts w:ascii="Calibri" w:hAnsi="Calibri"/>
                <w:color w:val="1E293B"/>
                <w:sz w:val="20"/>
              </w:rPr>
              <w:t>Platform: 100% Zero-Backend Browser Runtime · Version: 2.0.0 · Air-Gapped Ready · SingleFile HTML Edition Available</w:t>
            </w:r>
          </w:p>
        </w:tc>
      </w:tr>
    </w:tbl>
    <w:p>
      <w:pPr>
        <w:spacing w:before="0" w:after="120"/>
      </w:pPr>
    </w:p>
    <w:p>
      <w:r>
        <w:drawing>
          <wp:inline xmlns:a="http://schemas.openxmlformats.org/drawingml/2006/main" xmlns:pic="http://schemas.openxmlformats.org/drawingml/2006/picture">
            <wp:extent cx="5943600" cy="3430517"/>
            <wp:docPr id="1" name="Picture 1"/>
            <wp:cNvGraphicFramePr>
              <a:graphicFrameLocks noChangeAspect="1"/>
            </wp:cNvGraphicFramePr>
            <a:graphic>
              <a:graphicData uri="http://schemas.openxmlformats.org/drawingml/2006/picture">
                <pic:pic>
                  <pic:nvPicPr>
                    <pic:cNvPr id="0" name="dashboard_executive_view.png"/>
                    <pic:cNvPicPr/>
                  </pic:nvPicPr>
                  <pic:blipFill>
                    <a:blip r:embed="rId11"/>
                    <a:stretch>
                      <a:fillRect/>
                    </a:stretch>
                  </pic:blipFill>
                  <pic:spPr>
                    <a:xfrm>
                      <a:off x="0" y="0"/>
                      <a:ext cx="5943600" cy="3430517"/>
                    </a:xfrm>
                    <a:prstGeom prst="rect"/>
                  </pic:spPr>
                </pic:pic>
              </a:graphicData>
            </a:graphic>
          </wp:inline>
        </w:drawing>
      </w:r>
    </w:p>
    <w:p>
      <w:pPr>
        <w:spacing w:before="80" w:after="280"/>
        <w:jc w:val="center"/>
      </w:pPr>
      <w:r>
        <w:rPr>
          <w:rFonts w:ascii="Calibri" w:hAnsi="Calibri"/>
          <w:i/>
          <w:color w:val="64748B"/>
          <w:sz w:val="17"/>
        </w:rPr>
        <w:t>Figure 1.1: OmniDash Executive Boardroom Dashboard Interface</w:t>
      </w:r>
    </w:p>
    <w:p>
      <w:pPr>
        <w:spacing w:before="40" w:after="120" w:line="288" w:lineRule="auto"/>
      </w:pPr>
      <w:r>
        <w:rPr>
          <w:rFonts w:ascii="Calibri" w:hAnsi="Calibri"/>
          <w:color w:val="334155"/>
          <w:sz w:val="20"/>
        </w:rPr>
        <w:t>&gt; *Version: 2.0.0 · Platform: Zero-Backend In-Browser Business Intelligence*</w:t>
      </w:r>
    </w:p>
    <w:p>
      <w:pPr>
        <w:keepNext/>
        <w:spacing w:before="360" w:after="120"/>
      </w:pPr>
      <w:r>
        <w:rPr>
          <w:rFonts w:ascii="Calibri" w:hAnsi="Calibri"/>
          <w:b/>
          <w:color w:val="0F172A"/>
          <w:sz w:val="32"/>
        </w:rPr>
        <w:t>Table of Contents</w:t>
      </w:r>
    </w:p>
    <w:p>
      <w:pPr>
        <w:pStyle w:val="ListNumber"/>
        <w:spacing w:before="20" w:after="40" w:line="276" w:lineRule="auto"/>
      </w:pPr>
      <w:r>
        <w:rPr>
          <w:rFonts w:ascii="Calibri" w:hAnsi="Calibri"/>
          <w:color w:val="1E293B"/>
          <w:sz w:val="20"/>
        </w:rPr>
        <w:t>[Platform Overview &amp; Core Architecture Philosophy](#1-platform-overview--core-architecture-philosophy)</w:t>
      </w:r>
    </w:p>
    <w:p>
      <w:pPr>
        <w:pStyle w:val="ListNumber"/>
        <w:spacing w:before="20" w:after="40" w:line="276" w:lineRule="auto"/>
      </w:pPr>
      <w:r>
        <w:rPr>
          <w:rFonts w:ascii="Calibri" w:hAnsi="Calibri"/>
          <w:color w:val="1E293B"/>
          <w:sz w:val="20"/>
        </w:rPr>
        <w:t>[Data Ingestion, Profiling &amp; Auto-Cleaning](#2-data-ingestion-profiling--auto-cleaning)</w:t>
      </w:r>
    </w:p>
    <w:p>
      <w:pPr>
        <w:pStyle w:val="ListNumber"/>
        <w:spacing w:before="20" w:after="40" w:line="276" w:lineRule="auto"/>
      </w:pPr>
      <w:r>
        <w:rPr>
          <w:rFonts w:ascii="Calibri" w:hAnsi="Calibri"/>
          <w:color w:val="1E293B"/>
          <w:sz w:val="20"/>
        </w:rPr>
        <w:t>[Data Modeling Studio &amp; Formula Engine](#3-data-modeling-studio--formula-engine)</w:t>
      </w:r>
    </w:p>
    <w:p>
      <w:pPr>
        <w:pStyle w:val="ListNumber"/>
        <w:spacing w:before="20" w:after="40" w:line="276" w:lineRule="auto"/>
      </w:pPr>
      <w:r>
        <w:rPr>
          <w:rFonts w:ascii="Calibri" w:hAnsi="Calibri"/>
          <w:color w:val="1E293B"/>
          <w:sz w:val="20"/>
        </w:rPr>
        <w:t>[Executive KPI Management &amp; Metric Math](#4-executive-kpi-management--metric-math)</w:t>
      </w:r>
    </w:p>
    <w:p>
      <w:pPr>
        <w:pStyle w:val="ListNumber"/>
        <w:spacing w:before="20" w:after="40" w:line="276" w:lineRule="auto"/>
      </w:pPr>
      <w:r>
        <w:rPr>
          <w:rFonts w:ascii="Calibri" w:hAnsi="Calibri"/>
          <w:color w:val="1E293B"/>
          <w:sz w:val="20"/>
        </w:rPr>
        <w:t>[Visual Analytics &amp; Chart Customization](#5-visual-analytics--chart-customization)</w:t>
      </w:r>
    </w:p>
    <w:p>
      <w:pPr>
        <w:pStyle w:val="ListNumber"/>
        <w:spacing w:before="20" w:after="40" w:line="276" w:lineRule="auto"/>
      </w:pPr>
      <w:r>
        <w:rPr>
          <w:rFonts w:ascii="Calibri" w:hAnsi="Calibri"/>
          <w:color w:val="1E293B"/>
          <w:sz w:val="20"/>
        </w:rPr>
        <w:t>[On-Device AI Business Analyst (WASM Engine)](#6-on-device-ai-business-analyst-wasm-engine)</w:t>
      </w:r>
    </w:p>
    <w:p>
      <w:pPr>
        <w:pStyle w:val="ListNumber"/>
        <w:spacing w:before="20" w:after="40" w:line="276" w:lineRule="auto"/>
      </w:pPr>
      <w:r>
        <w:rPr>
          <w:rFonts w:ascii="Calibri" w:hAnsi="Calibri"/>
          <w:color w:val="1E293B"/>
          <w:sz w:val="20"/>
        </w:rPr>
        <w:t>[Corporate Brand Master Template Studio](#7-corporate-brand-master-template-studio)</w:t>
      </w:r>
    </w:p>
    <w:p>
      <w:pPr>
        <w:pStyle w:val="ListNumber"/>
        <w:spacing w:before="20" w:after="40" w:line="276" w:lineRule="auto"/>
      </w:pPr>
      <w:r>
        <w:rPr>
          <w:rFonts w:ascii="Calibri" w:hAnsi="Calibri"/>
          <w:color w:val="1E293B"/>
          <w:sz w:val="20"/>
        </w:rPr>
        <w:t>[Presentation Studio &amp; Boardroom Export](#8-presentation-studio--boardroom-export)</w:t>
      </w:r>
    </w:p>
    <w:p>
      <w:pPr>
        <w:pStyle w:val="ListNumber"/>
        <w:spacing w:before="20" w:after="40" w:line="276" w:lineRule="auto"/>
      </w:pPr>
      <w:r>
        <w:rPr>
          <w:rFonts w:ascii="Calibri" w:hAnsi="Calibri"/>
          <w:color w:val="1E293B"/>
          <w:sz w:val="20"/>
        </w:rPr>
        <w:t>[Local Drive Sync (Google Drive / OneDrive) &amp; Workspace Hub](#9-local-drive-sync-google-drive--onedrive--workspace-hub)</w:t>
      </w:r>
    </w:p>
    <w:p>
      <w:pPr>
        <w:pStyle w:val="ListNumber"/>
        <w:spacing w:before="20" w:after="40" w:line="276" w:lineRule="auto"/>
      </w:pPr>
      <w:r>
        <w:rPr>
          <w:rFonts w:ascii="Calibri" w:hAnsi="Calibri"/>
          <w:color w:val="1E293B"/>
          <w:sz w:val="20"/>
        </w:rPr>
        <w:t>[Workspace Persistence, Privacy &amp; Performance Guidelines](#10-workspace-persistence-privacy--performance-guidelines)</w:t>
      </w:r>
    </w:p>
    <w:p>
      <w:pPr>
        <w:pStyle w:val="ListNumber"/>
        <w:spacing w:before="20" w:after="40" w:line="276" w:lineRule="auto"/>
      </w:pPr>
      <w:r>
        <w:rPr>
          <w:rFonts w:ascii="Calibri" w:hAnsi="Calibri"/>
          <w:color w:val="1E293B"/>
          <w:sz w:val="20"/>
        </w:rPr>
        <w:t>[Frequently Asked Questions (FAQ) &amp; Troubleshooting](#11-frequently-asked-questions-faq--troubleshooting)</w:t>
      </w:r>
    </w:p>
    <w:p>
      <w:pPr>
        <w:keepNext/>
        <w:spacing w:before="360" w:after="120"/>
      </w:pPr>
      <w:r>
        <w:rPr>
          <w:rFonts w:ascii="Calibri" w:hAnsi="Calibri"/>
          <w:b/>
          <w:color w:val="0F172A"/>
          <w:sz w:val="32"/>
        </w:rPr>
        <w:t>1. Platform Overview &amp; Core Architecture Philosophy</w:t>
      </w:r>
    </w:p>
    <w:p>
      <w:pPr>
        <w:keepNext/>
        <w:spacing w:before="280" w:after="80"/>
      </w:pPr>
      <w:r>
        <w:rPr>
          <w:rFonts w:ascii="Calibri" w:hAnsi="Calibri"/>
          <w:b/>
          <w:color w:val="1E293B"/>
          <w:sz w:val="25"/>
        </w:rPr>
        <w:t>1.1 What is OmniDash?</w:t>
      </w:r>
    </w:p>
    <w:p>
      <w:pPr>
        <w:spacing w:before="40" w:after="120" w:line="288" w:lineRule="auto"/>
      </w:pPr>
      <w:r>
        <w:rPr>
          <w:rFonts w:ascii="Calibri" w:hAnsi="Calibri"/>
          <w:color w:val="334155"/>
          <w:sz w:val="20"/>
        </w:rPr>
        <w:t xml:space="preserve">OmniDash is an enterprise-grade business intelligence, statistical modeling, and boardroom presentation platform that runs </w:t>
      </w:r>
      <w:r>
        <w:rPr>
          <w:rFonts w:ascii="Calibri" w:hAnsi="Calibri"/>
          <w:b/>
          <w:color w:val="334155"/>
          <w:sz w:val="20"/>
        </w:rPr>
        <w:t>entirely in the user's web browser</w:t>
      </w:r>
      <w:r>
        <w:rPr>
          <w:rFonts w:ascii="Calibri" w:hAnsi="Calibri"/>
          <w:color w:val="334155"/>
          <w:sz w:val="20"/>
        </w:rPr>
        <w:t>. It merges the analytical depth of Power BI and Tableau with the visual polish of modern slide decks, all without requiring servers, cloud databases, API subscriptions, or software installations.</w:t>
      </w:r>
    </w:p>
    <w:p>
      <w:pPr>
        <w:keepNext/>
        <w:spacing w:before="280" w:after="80"/>
      </w:pPr>
      <w:r>
        <w:rPr>
          <w:rFonts w:ascii="Calibri" w:hAnsi="Calibri"/>
          <w:b/>
          <w:color w:val="1E293B"/>
          <w:sz w:val="25"/>
        </w:rPr>
        <w:t>1.2 Core Architectural Principles &amp; Behind-the-Scenes Mechanics</w:t>
      </w:r>
    </w:p>
    <w:p>
      <w:pPr>
        <w:keepNext/>
        <w:spacing w:before="200" w:after="60"/>
      </w:pPr>
      <w:r>
        <w:rPr>
          <w:rFonts w:ascii="Calibri" w:hAnsi="Calibri"/>
          <w:b/>
          <w:color w:val="2563EB"/>
          <w:sz w:val="22"/>
        </w:rPr>
        <w:t>**A. Zero-Cloud / 100% Privacy-Preserving Runtime**</w:t>
      </w:r>
    </w:p>
    <w:p>
      <w:pPr>
        <w:spacing w:before="40" w:after="120" w:line="288" w:lineRule="auto"/>
      </w:pPr>
      <w:r>
        <w:rPr>
          <w:rFonts w:ascii="Calibri" w:hAnsi="Calibri"/>
          <w:color w:val="334155"/>
          <w:sz w:val="20"/>
        </w:rPr>
        <w:t>Traditional business intelligence platforms (e.g., Salesforce Tableau, Microsoft Power BI Cloud, Google Looker) require uploading confidential spreadsheets and databases to external cloud servers. For financial institutions, healthcare providers, and proprietary enterprises, this introduces data governance hurdles, compliance risks, and privacy review cycles.</w:t>
      </w:r>
    </w:p>
    <w:p>
      <w:pPr>
        <w:pStyle w:val="ListBullet"/>
        <w:spacing w:before="20" w:after="40" w:line="276" w:lineRule="auto"/>
      </w:pPr>
      <w:r>
        <w:rPr>
          <w:rFonts w:ascii="Calibri" w:hAnsi="Calibri"/>
          <w:color w:val="1E293B"/>
          <w:sz w:val="20"/>
        </w:rPr>
      </w:r>
      <w:r>
        <w:rPr>
          <w:rFonts w:ascii="Calibri" w:hAnsi="Calibri"/>
          <w:b/>
          <w:color w:val="1E293B"/>
          <w:sz w:val="20"/>
        </w:rPr>
        <w:t>Behind the Scenes</w:t>
      </w:r>
      <w:r>
        <w:rPr>
          <w:rFonts w:ascii="Calibri" w:hAnsi="Calibri"/>
          <w:color w:val="1E293B"/>
          <w:sz w:val="20"/>
        </w:rPr>
        <w:t xml:space="preserve">: OmniDash executes within the </w:t>
      </w:r>
      <w:r>
        <w:rPr>
          <w:rFonts w:ascii="Calibri" w:hAnsi="Calibri"/>
          <w:b/>
          <w:color w:val="1E293B"/>
          <w:sz w:val="20"/>
        </w:rPr>
        <w:t>browser JavaScript runtime sandbox</w:t>
      </w:r>
      <w:r>
        <w:rPr>
          <w:rFonts w:ascii="Calibri" w:hAnsi="Calibri"/>
          <w:color w:val="1E293B"/>
          <w:sz w:val="20"/>
        </w:rPr>
        <w:t>.</w:t>
      </w:r>
    </w:p>
    <w:p>
      <w:pPr>
        <w:pStyle w:val="ListBullet"/>
        <w:spacing w:before="20" w:after="40" w:line="276" w:lineRule="auto"/>
      </w:pPr>
      <w:r>
        <w:rPr>
          <w:rFonts w:ascii="Calibri" w:hAnsi="Calibri"/>
          <w:color w:val="1E293B"/>
          <w:sz w:val="20"/>
        </w:rPr>
        <w:t>Every calculation, aggregations, chart rendering, and formula evaluation happens in client-side memory (RAM).</w:t>
      </w:r>
    </w:p>
    <w:p>
      <w:pPr>
        <w:pStyle w:val="ListBullet"/>
        <w:spacing w:before="20" w:after="40" w:line="276" w:lineRule="auto"/>
      </w:pPr>
      <w:r>
        <w:rPr>
          <w:rFonts w:ascii="Calibri" w:hAnsi="Calibri"/>
          <w:color w:val="1E293B"/>
          <w:sz w:val="20"/>
        </w:rPr>
        <w:t xml:space="preserve">Raw records, financial statements, and employee information </w:t>
      </w:r>
      <w:r>
        <w:rPr>
          <w:rFonts w:ascii="Calibri" w:hAnsi="Calibri"/>
          <w:b/>
          <w:color w:val="1E293B"/>
          <w:sz w:val="20"/>
        </w:rPr>
        <w:t>never cross the network wire</w:t>
      </w:r>
      <w:r>
        <w:rPr>
          <w:rFonts w:ascii="Calibri" w:hAnsi="Calibri"/>
          <w:color w:val="1E293B"/>
          <w:sz w:val="20"/>
        </w:rPr>
        <w:t>.</w:t>
      </w:r>
    </w:p>
    <w:p>
      <w:pPr>
        <w:pStyle w:val="ListBullet"/>
        <w:spacing w:before="20" w:after="40" w:line="276" w:lineRule="auto"/>
      </w:pPr>
      <w:r>
        <w:rPr>
          <w:rFonts w:ascii="Calibri" w:hAnsi="Calibri"/>
          <w:color w:val="1E293B"/>
          <w:sz w:val="20"/>
        </w:rPr>
        <w:t>All network traffic is strictly zero (except when optionally pulling quantized AI models once for offline local caching).</w:t>
      </w:r>
    </w:p>
    <w:p>
      <w:pPr>
        <w:keepNext/>
        <w:spacing w:before="200" w:after="60"/>
      </w:pPr>
      <w:r>
        <w:rPr>
          <w:rFonts w:ascii="Calibri" w:hAnsi="Calibri"/>
          <w:b/>
          <w:color w:val="2563EB"/>
          <w:sz w:val="22"/>
        </w:rPr>
        <w:t>**B. Standalone Single-File Distribution**</w:t>
      </w:r>
    </w:p>
    <w:p>
      <w:pPr>
        <w:spacing w:before="40" w:after="120" w:line="288" w:lineRule="auto"/>
      </w:pPr>
      <w:r>
        <w:rPr>
          <w:rFonts w:ascii="Calibri" w:hAnsi="Calibri"/>
          <w:color w:val="334155"/>
          <w:sz w:val="20"/>
        </w:rPr>
        <w:t>OmniDash can be packaged into a single, self-contained HTML file (OmniDash_Business_Analytics_Standalone.html, ~3 MB).</w:t>
      </w:r>
    </w:p>
    <w:p>
      <w:pPr>
        <w:pStyle w:val="ListBullet"/>
        <w:spacing w:before="20" w:after="40" w:line="276" w:lineRule="auto"/>
      </w:pPr>
      <w:r>
        <w:rPr>
          <w:rFonts w:ascii="Calibri" w:hAnsi="Calibri"/>
          <w:color w:val="1E293B"/>
          <w:sz w:val="20"/>
        </w:rPr>
      </w:r>
      <w:r>
        <w:rPr>
          <w:rFonts w:ascii="Calibri" w:hAnsi="Calibri"/>
          <w:b/>
          <w:color w:val="1E293B"/>
          <w:sz w:val="20"/>
        </w:rPr>
        <w:t>Behind the Scenes</w:t>
      </w:r>
      <w:r>
        <w:rPr>
          <w:rFonts w:ascii="Calibri" w:hAnsi="Calibri"/>
          <w:color w:val="1E293B"/>
          <w:sz w:val="20"/>
        </w:rPr>
        <w:t>: Leveraging vite-plugin-singlefile, all React code, Lucide icons, Chart.js modules, SheetJS Excel parsers, PDF engine, OpenXML template extractors, and CSS styles are inlined as base64-encoded bundles directly inside one file.</w:t>
      </w:r>
    </w:p>
    <w:p>
      <w:pPr>
        <w:pStyle w:val="ListBullet"/>
        <w:spacing w:before="20" w:after="40" w:line="276" w:lineRule="auto"/>
      </w:pPr>
      <w:r>
        <w:rPr>
          <w:rFonts w:ascii="Calibri" w:hAnsi="Calibri"/>
          <w:color w:val="1E293B"/>
          <w:sz w:val="20"/>
        </w:rPr>
      </w:r>
      <w:r>
        <w:rPr>
          <w:rFonts w:ascii="Calibri" w:hAnsi="Calibri"/>
          <w:b/>
          <w:color w:val="1E293B"/>
          <w:sz w:val="20"/>
        </w:rPr>
        <w:t>Why this matters</w:t>
      </w:r>
      <w:r>
        <w:rPr>
          <w:rFonts w:ascii="Calibri" w:hAnsi="Calibri"/>
          <w:color w:val="1E293B"/>
          <w:sz w:val="20"/>
        </w:rPr>
        <w:t>: You can save it on a USB stick, air-gap it on an offline laptop, or email it to a CFO or client as a regular file attachment. They simply double-click the file, and the entire BI suite launches instantly in any modern browser (Chrome, Edge, Safari, Firefox).</w:t>
      </w:r>
    </w:p>
    <w:p>
      <w:pPr>
        <w:keepNext/>
        <w:spacing w:before="200" w:after="60"/>
      </w:pPr>
      <w:r>
        <w:rPr>
          <w:rFonts w:ascii="Calibri" w:hAnsi="Calibri"/>
          <w:b/>
          <w:color w:val="2563EB"/>
          <w:sz w:val="22"/>
        </w:rPr>
        <w:t>**C. Client-Side Persistence Architecture**</w:t>
      </w:r>
    </w:p>
    <w:p>
      <w:pPr>
        <w:spacing w:before="40" w:after="120" w:line="288" w:lineRule="auto"/>
      </w:pPr>
      <w:r>
        <w:rPr>
          <w:rFonts w:ascii="Calibri" w:hAnsi="Calibri"/>
          <w:color w:val="334155"/>
          <w:sz w:val="20"/>
        </w:rPr>
        <w:t>OmniDash implements a two-tier persistent storage layer:</w:t>
      </w:r>
    </w:p>
    <w:p>
      <w:pPr>
        <w:pStyle w:val="ListNumber"/>
        <w:spacing w:before="20" w:after="40" w:line="276" w:lineRule="auto"/>
      </w:pPr>
      <w:r>
        <w:rPr>
          <w:rFonts w:ascii="Calibri" w:hAnsi="Calibri"/>
          <w:color w:val="1E293B"/>
          <w:sz w:val="20"/>
        </w:rPr>
      </w:r>
      <w:r>
        <w:rPr>
          <w:rFonts w:ascii="Calibri" w:hAnsi="Calibri"/>
          <w:b/>
          <w:color w:val="1E293B"/>
          <w:sz w:val="20"/>
        </w:rPr>
        <w:t>IndexedDB</w:t>
      </w:r>
      <w:r>
        <w:rPr>
          <w:rFonts w:ascii="Calibri" w:hAnsi="Calibri"/>
          <w:color w:val="1E293B"/>
          <w:sz w:val="20"/>
        </w:rPr>
        <w:t>: High-capacity client-side structured storage for uploaded tabular records, merged datasets, and custom views.</w:t>
      </w:r>
    </w:p>
    <w:p>
      <w:pPr>
        <w:pStyle w:val="ListNumber"/>
        <w:spacing w:before="20" w:after="40" w:line="276" w:lineRule="auto"/>
      </w:pPr>
      <w:r>
        <w:rPr>
          <w:rFonts w:ascii="Calibri" w:hAnsi="Calibri"/>
          <w:color w:val="1E293B"/>
          <w:sz w:val="20"/>
        </w:rPr>
      </w:r>
      <w:r>
        <w:rPr>
          <w:rFonts w:ascii="Calibri" w:hAnsi="Calibri"/>
          <w:b/>
          <w:color w:val="1E293B"/>
          <w:sz w:val="20"/>
        </w:rPr>
        <w:t>LocalStorage</w:t>
      </w:r>
      <w:r>
        <w:rPr>
          <w:rFonts w:ascii="Calibri" w:hAnsi="Calibri"/>
          <w:color w:val="1E293B"/>
          <w:sz w:val="20"/>
        </w:rPr>
        <w:t>: Fast key-value store for workspace layout preferences, pinned widgets, filter state, active color themes, and custom brand templates.</w:t>
      </w:r>
    </w:p>
    <w:p>
      <w:pPr>
        <w:pStyle w:val="ListBullet"/>
        <w:spacing w:before="20" w:after="40" w:line="276" w:lineRule="auto"/>
      </w:pPr>
      <w:r>
        <w:rPr>
          <w:rFonts w:ascii="Calibri" w:hAnsi="Calibri"/>
          <w:color w:val="1E293B"/>
          <w:sz w:val="20"/>
        </w:rPr>
      </w:r>
      <w:r>
        <w:rPr>
          <w:rFonts w:ascii="Calibri" w:hAnsi="Calibri"/>
          <w:b/>
          <w:color w:val="1E293B"/>
          <w:sz w:val="20"/>
        </w:rPr>
        <w:t>Behind the Scenes</w:t>
      </w:r>
      <w:r>
        <w:rPr>
          <w:rFonts w:ascii="Calibri" w:hAnsi="Calibri"/>
          <w:color w:val="1E293B"/>
          <w:sz w:val="20"/>
        </w:rPr>
        <w:t>: Storage persistence is decoupled and debounced (400ms buffer). Keystrokes in search filters or quick card resizing operate in pure memory and write asynchronously to storage without frame drops or UI freezing.</w:t>
      </w:r>
    </w:p>
    <w:p>
      <w:pPr>
        <w:keepNext/>
        <w:spacing w:before="360" w:after="120"/>
      </w:pPr>
      <w:r>
        <w:rPr>
          <w:rFonts w:ascii="Calibri" w:hAnsi="Calibri"/>
          <w:b/>
          <w:color w:val="0F172A"/>
          <w:sz w:val="32"/>
        </w:rPr>
        <w:t>2. Data Ingestion, Profiling &amp; Auto-Cleaning</w:t>
      </w:r>
    </w:p>
    <w:p>
      <w:pPr>
        <w:keepNext/>
        <w:spacing w:before="280" w:after="80"/>
      </w:pPr>
      <w:r>
        <w:rPr>
          <w:rFonts w:ascii="Calibri" w:hAnsi="Calibri"/>
          <w:b/>
          <w:color w:val="1E293B"/>
          <w:sz w:val="25"/>
        </w:rPr>
        <w:t>2.1 Supported File Formats</w:t>
      </w:r>
    </w:p>
    <w:p>
      <w:pPr>
        <w:spacing w:before="40" w:after="120" w:line="288" w:lineRule="auto"/>
      </w:pPr>
      <w:r>
        <w:rPr>
          <w:rFonts w:ascii="Calibri" w:hAnsi="Calibri"/>
          <w:color w:val="334155"/>
          <w:sz w:val="20"/>
        </w:rPr>
        <w:t>OmniDash provides a universal file ingestion pipeline that accepts:</w:t>
      </w:r>
    </w:p>
    <w:p>
      <w:pPr>
        <w:pStyle w:val="ListBullet"/>
        <w:spacing w:before="20" w:after="40" w:line="276" w:lineRule="auto"/>
      </w:pPr>
      <w:r>
        <w:rPr>
          <w:rFonts w:ascii="Calibri" w:hAnsi="Calibri"/>
          <w:color w:val="1E293B"/>
          <w:sz w:val="20"/>
        </w:rPr>
      </w:r>
      <w:r>
        <w:rPr>
          <w:rFonts w:ascii="Calibri" w:hAnsi="Calibri"/>
          <w:b/>
          <w:color w:val="1E293B"/>
          <w:sz w:val="20"/>
        </w:rPr>
        <w:t>Excel Workbooks</w:t>
      </w:r>
      <w:r>
        <w:rPr>
          <w:rFonts w:ascii="Calibri" w:hAnsi="Calibri"/>
          <w:color w:val="1E293B"/>
          <w:sz w:val="20"/>
        </w:rPr>
        <w:t xml:space="preserve"> (.xlsx, .xls): Automatically extracts the primary worksheet with multi-tab selection support.</w:t>
      </w:r>
    </w:p>
    <w:p>
      <w:pPr>
        <w:pStyle w:val="ListBullet"/>
        <w:spacing w:before="20" w:after="40" w:line="276" w:lineRule="auto"/>
      </w:pPr>
      <w:r>
        <w:rPr>
          <w:rFonts w:ascii="Calibri" w:hAnsi="Calibri"/>
          <w:color w:val="1E293B"/>
          <w:sz w:val="20"/>
        </w:rPr>
      </w:r>
      <w:r>
        <w:rPr>
          <w:rFonts w:ascii="Calibri" w:hAnsi="Calibri"/>
          <w:b/>
          <w:color w:val="1E293B"/>
          <w:sz w:val="20"/>
        </w:rPr>
        <w:t>Delimited Files</w:t>
      </w:r>
      <w:r>
        <w:rPr>
          <w:rFonts w:ascii="Calibri" w:hAnsi="Calibri"/>
          <w:color w:val="1E293B"/>
          <w:sz w:val="20"/>
        </w:rPr>
        <w:t xml:space="preserve"> (.csv, .tsv, .txt): Powered by PapaParse with automatic delimiter inference (comma, tab, semicolon, pipe).</w:t>
      </w:r>
    </w:p>
    <w:p>
      <w:pPr>
        <w:pStyle w:val="ListBullet"/>
        <w:spacing w:before="20" w:after="40" w:line="276" w:lineRule="auto"/>
      </w:pPr>
      <w:r>
        <w:rPr>
          <w:rFonts w:ascii="Calibri" w:hAnsi="Calibri"/>
          <w:color w:val="1E293B"/>
          <w:sz w:val="20"/>
        </w:rPr>
      </w:r>
      <w:r>
        <w:rPr>
          <w:rFonts w:ascii="Calibri" w:hAnsi="Calibri"/>
          <w:b/>
          <w:color w:val="1E293B"/>
          <w:sz w:val="20"/>
        </w:rPr>
        <w:t>Structured JSON</w:t>
      </w:r>
      <w:r>
        <w:rPr>
          <w:rFonts w:ascii="Calibri" w:hAnsi="Calibri"/>
          <w:color w:val="1E293B"/>
          <w:sz w:val="20"/>
        </w:rPr>
        <w:t xml:space="preserve"> (.json): Flattens array-of-objects schemas automatically into clean tabular formats.</w:t>
      </w:r>
    </w:p>
    <w:p>
      <w:pPr>
        <w:pStyle w:val="ListBullet"/>
        <w:spacing w:before="20" w:after="40" w:line="276" w:lineRule="auto"/>
      </w:pPr>
      <w:r>
        <w:rPr>
          <w:rFonts w:ascii="Calibri" w:hAnsi="Calibri"/>
          <w:color w:val="1E293B"/>
          <w:sz w:val="20"/>
        </w:rPr>
      </w:r>
      <w:r>
        <w:rPr>
          <w:rFonts w:ascii="Calibri" w:hAnsi="Calibri"/>
          <w:b/>
          <w:color w:val="1E293B"/>
          <w:sz w:val="20"/>
        </w:rPr>
        <w:t>PDF Reports</w:t>
      </w:r>
      <w:r>
        <w:rPr>
          <w:rFonts w:ascii="Calibri" w:hAnsi="Calibri"/>
          <w:color w:val="1E293B"/>
          <w:sz w:val="20"/>
        </w:rPr>
        <w:t xml:space="preserve"> (.pdf): Scans structured text tables from PDF documents and transforms them into analytical datasets.</w:t>
      </w:r>
    </w:p>
    <w:p>
      <w:pPr>
        <w:keepNext/>
        <w:spacing w:before="280" w:after="80"/>
      </w:pPr>
      <w:r>
        <w:rPr>
          <w:rFonts w:ascii="Calibri" w:hAnsi="Calibri"/>
          <w:b/>
          <w:color w:val="1E293B"/>
          <w:sz w:val="25"/>
        </w:rPr>
        <w:t>2.2 Built-In Sample Datasets</w:t>
      </w:r>
    </w:p>
    <w:p>
      <w:pPr>
        <w:spacing w:before="40" w:after="120" w:line="288" w:lineRule="auto"/>
      </w:pPr>
      <w:r>
        <w:rPr>
          <w:rFonts w:ascii="Calibri" w:hAnsi="Calibri"/>
          <w:color w:val="334155"/>
          <w:sz w:val="20"/>
        </w:rPr>
        <w:t>For instant testing and evaluation, OmniDash includes four pre-loaded enterprise datasets:</w:t>
      </w:r>
    </w:p>
    <w:p>
      <w:pPr>
        <w:pStyle w:val="ListNumber"/>
        <w:spacing w:before="20" w:after="40" w:line="276" w:lineRule="auto"/>
      </w:pPr>
      <w:r>
        <w:rPr>
          <w:rFonts w:ascii="Calibri" w:hAnsi="Calibri"/>
          <w:color w:val="1E293B"/>
          <w:sz w:val="20"/>
        </w:rPr>
      </w:r>
      <w:r>
        <w:rPr>
          <w:rFonts w:ascii="Calibri" w:hAnsi="Calibri"/>
          <w:b/>
          <w:color w:val="1E293B"/>
          <w:sz w:val="20"/>
        </w:rPr>
        <w:t>Enterprise Financials</w:t>
      </w:r>
      <w:r>
        <w:rPr>
          <w:rFonts w:ascii="Calibri" w:hAnsi="Calibri"/>
          <w:color w:val="1E293B"/>
          <w:sz w:val="20"/>
        </w:rPr>
        <w:t>: Quarterly revenue, cost of goods sold (COGS), operating expenses (OPEX), EBITDA, net margins, regions, and business divisions.</w:t>
      </w:r>
    </w:p>
    <w:p>
      <w:pPr>
        <w:pStyle w:val="ListNumber"/>
        <w:spacing w:before="20" w:after="40" w:line="276" w:lineRule="auto"/>
      </w:pPr>
      <w:r>
        <w:rPr>
          <w:rFonts w:ascii="Calibri" w:hAnsi="Calibri"/>
          <w:color w:val="1E293B"/>
          <w:sz w:val="20"/>
        </w:rPr>
      </w:r>
      <w:r>
        <w:rPr>
          <w:rFonts w:ascii="Calibri" w:hAnsi="Calibri"/>
          <w:b/>
          <w:color w:val="1E293B"/>
          <w:sz w:val="20"/>
        </w:rPr>
        <w:t>SaaS Product Analytics</w:t>
      </w:r>
      <w:r>
        <w:rPr>
          <w:rFonts w:ascii="Calibri" w:hAnsi="Calibri"/>
          <w:color w:val="1E293B"/>
          <w:sz w:val="20"/>
        </w:rPr>
        <w:t>: Monthly recurring revenue (MRR), churn rate, customer acquisition cost (CAC), lifetime value (LTV), user seats, and engagement tiers.</w:t>
      </w:r>
    </w:p>
    <w:p>
      <w:pPr>
        <w:pStyle w:val="ListNumber"/>
        <w:spacing w:before="20" w:after="40" w:line="276" w:lineRule="auto"/>
      </w:pPr>
      <w:r>
        <w:rPr>
          <w:rFonts w:ascii="Calibri" w:hAnsi="Calibri"/>
          <w:color w:val="1E293B"/>
          <w:sz w:val="20"/>
        </w:rPr>
      </w:r>
      <w:r>
        <w:rPr>
          <w:rFonts w:ascii="Calibri" w:hAnsi="Calibri"/>
          <w:b/>
          <w:color w:val="1E293B"/>
          <w:sz w:val="20"/>
        </w:rPr>
        <w:t>Omnichannel Retail Sales</w:t>
      </w:r>
      <w:r>
        <w:rPr>
          <w:rFonts w:ascii="Calibri" w:hAnsi="Calibri"/>
          <w:color w:val="1E293B"/>
          <w:sz w:val="20"/>
        </w:rPr>
        <w:t>: Store traffic, SKU category volumes, discounts, gross merchandise value (GMV), return rates, and shipping times.</w:t>
      </w:r>
    </w:p>
    <w:p>
      <w:pPr>
        <w:pStyle w:val="ListNumber"/>
        <w:spacing w:before="20" w:after="40" w:line="276" w:lineRule="auto"/>
      </w:pPr>
      <w:r>
        <w:rPr>
          <w:rFonts w:ascii="Calibri" w:hAnsi="Calibri"/>
          <w:color w:val="1E293B"/>
          <w:sz w:val="20"/>
        </w:rPr>
      </w:r>
      <w:r>
        <w:rPr>
          <w:rFonts w:ascii="Calibri" w:hAnsi="Calibri"/>
          <w:b/>
          <w:color w:val="1E293B"/>
          <w:sz w:val="20"/>
        </w:rPr>
        <w:t>Manufacturing &amp; Supply Chain</w:t>
      </w:r>
      <w:r>
        <w:rPr>
          <w:rFonts w:ascii="Calibri" w:hAnsi="Calibri"/>
          <w:color w:val="1E293B"/>
          <w:sz w:val="20"/>
        </w:rPr>
        <w:t>: Production yields, defect rates, machine downtime, warehouse utilization, and operational cycle times.</w:t>
      </w:r>
    </w:p>
    <w:p>
      <w:r>
        <w:drawing>
          <wp:inline xmlns:a="http://schemas.openxmlformats.org/drawingml/2006/main" xmlns:pic="http://schemas.openxmlformats.org/drawingml/2006/picture">
            <wp:extent cx="5852160" cy="3377739"/>
            <wp:docPr id="2" name="Picture 2"/>
            <wp:cNvGraphicFramePr>
              <a:graphicFrameLocks noChangeAspect="1"/>
            </wp:cNvGraphicFramePr>
            <a:graphic>
              <a:graphicData uri="http://schemas.openxmlformats.org/drawingml/2006/picture">
                <pic:pic>
                  <pic:nvPicPr>
                    <pic:cNvPr id="0" name="data_profiler_dark.png"/>
                    <pic:cNvPicPr/>
                  </pic:nvPicPr>
                  <pic:blipFill>
                    <a:blip r:embed="rId12"/>
                    <a:stretch>
                      <a:fillRect/>
                    </a:stretch>
                  </pic:blipFill>
                  <pic:spPr>
                    <a:xfrm>
                      <a:off x="0" y="0"/>
                      <a:ext cx="5852160" cy="3377739"/>
                    </a:xfrm>
                    <a:prstGeom prst="rect"/>
                  </pic:spPr>
                </pic:pic>
              </a:graphicData>
            </a:graphic>
          </wp:inline>
        </w:drawing>
      </w:r>
    </w:p>
    <w:p>
      <w:pPr>
        <w:spacing w:before="60" w:after="240"/>
        <w:jc w:val="center"/>
      </w:pPr>
      <w:r>
        <w:rPr>
          <w:rFonts w:ascii="Calibri" w:hAnsi="Calibri"/>
          <w:i/>
          <w:color w:val="64748B"/>
          <w:sz w:val="17"/>
        </w:rPr>
        <w:t>Data Profiler</w:t>
      </w:r>
    </w:p>
    <w:p>
      <w:pPr>
        <w:keepNext/>
        <w:spacing w:before="280" w:after="80"/>
      </w:pPr>
      <w:r>
        <w:rPr>
          <w:rFonts w:ascii="Calibri" w:hAnsi="Calibri"/>
          <w:b/>
          <w:color w:val="1E293B"/>
          <w:sz w:val="25"/>
        </w:rPr>
        <w:t>2.3 Behind the Scenes: Automated Profiling &amp; Data Cleaning Pipeline</w:t>
      </w:r>
    </w:p>
    <w:p>
      <w:pPr>
        <w:spacing w:before="40" w:after="120" w:line="288" w:lineRule="auto"/>
      </w:pPr>
      <w:r>
        <w:rPr>
          <w:rFonts w:ascii="Calibri" w:hAnsi="Calibri"/>
          <w:color w:val="334155"/>
          <w:sz w:val="20"/>
        </w:rPr>
        <w:t>When a file is dropped into OmniDash, cleanAndProfileDataset executes a multi-pass heuristic pipeline:</w:t>
      </w:r>
    </w:p>
    <w:tbl>
      <w:tblPr>
        <w:tblW w:type="auto" w:w="0"/>
        <w:jc w:val="center"/>
        <w:tblLook w:firstColumn="1" w:firstRow="1" w:lastColumn="0" w:lastRow="0" w:noHBand="0" w:noVBand="1" w:val="04A0"/>
      </w:tblPr>
      <w:tblGrid>
        <w:gridCol w:w="9360"/>
      </w:tblGrid>
      <w:tr>
        <w:tc>
          <w:tcPr>
            <w:tcW w:type="dxa" w:w="9936"/>
            <w:shd w:fill="0F172A"/>
            <w:tcMar>
              <w:top w:w="100" w:type="dxa"/>
              <w:bottom w:w="100" w:type="dxa"/>
              <w:left w:w="140" w:type="dxa"/>
              <w:right w:w="140" w:type="dxa"/>
            </w:tcMar>
          </w:tcPr>
          <w:p>
            <w:r>
              <w:rPr>
                <w:rFonts w:ascii="Consolas" w:hAnsi="Consolas"/>
                <w:color w:val="E2E8F0"/>
                <w:sz w:val="17"/>
              </w:rPr>
              <w:t>graph TD</w:t>
              <w:br/>
              <w:t xml:space="preserve">    A[Raw File / Buffer] --&gt; B[Universal Parser: PapaParse / SheetJS / PDF.js]</w:t>
              <w:br/>
              <w:t xml:space="preserve">    B --&gt; C[Column Normalization &amp; Header Clean]</w:t>
              <w:br/>
              <w:t xml:space="preserve">    C --&gt; D[Type Inference: Numeric vs Date vs Categorical]</w:t>
              <w:br/>
              <w:t xml:space="preserve">    D --&gt; E[Currency &amp; Accounting Sanitizer: Remove $, €, commas, (1200) -&gt; -1200]</w:t>
              <w:br/>
              <w:t xml:space="preserve">    E --&gt; F[Statistical Profiling: Cardinality, Min/Max, Mean, Missing %]</w:t>
              <w:br/>
              <w:t xml:space="preserve">    F --&gt; G[Smart Suggestion Engine: Primary Date Col &amp; Recommended Metrics]</w:t>
            </w:r>
          </w:p>
        </w:tc>
      </w:tr>
    </w:tbl>
    <w:p>
      <w:pPr>
        <w:spacing w:before="40" w:after="120"/>
      </w:pPr>
    </w:p>
    <w:p>
      <w:pPr>
        <w:pStyle w:val="ListNumber"/>
        <w:spacing w:before="20" w:after="40" w:line="276" w:lineRule="auto"/>
      </w:pPr>
      <w:r>
        <w:rPr>
          <w:rFonts w:ascii="Calibri" w:hAnsi="Calibri"/>
          <w:color w:val="1E293B"/>
          <w:sz w:val="20"/>
        </w:rPr>
      </w:r>
      <w:r>
        <w:rPr>
          <w:rFonts w:ascii="Calibri" w:hAnsi="Calibri"/>
          <w:b/>
          <w:color w:val="1E293B"/>
          <w:sz w:val="20"/>
        </w:rPr>
        <w:t>Header Sanitization</w:t>
      </w:r>
      <w:r>
        <w:rPr>
          <w:rFonts w:ascii="Calibri" w:hAnsi="Calibri"/>
          <w:color w:val="1E293B"/>
          <w:sz w:val="20"/>
        </w:rPr>
        <w:t>: Trims whitespace, cleans control characters, and deduplicates identical header names.</w:t>
      </w:r>
    </w:p>
    <w:p>
      <w:pPr>
        <w:pStyle w:val="ListNumber"/>
        <w:spacing w:before="20" w:after="40" w:line="276" w:lineRule="auto"/>
      </w:pPr>
      <w:r>
        <w:rPr>
          <w:rFonts w:ascii="Calibri" w:hAnsi="Calibri"/>
          <w:color w:val="1E293B"/>
          <w:sz w:val="20"/>
        </w:rPr>
      </w:r>
      <w:r>
        <w:rPr>
          <w:rFonts w:ascii="Calibri" w:hAnsi="Calibri"/>
          <w:b/>
          <w:color w:val="1E293B"/>
          <w:sz w:val="20"/>
        </w:rPr>
        <w:t>Numeric Sanitization</w:t>
      </w:r>
      <w:r>
        <w:rPr>
          <w:rFonts w:ascii="Calibri" w:hAnsi="Calibri"/>
          <w:color w:val="1E293B"/>
          <w:sz w:val="20"/>
        </w:rPr>
        <w:t>: Automatically strips currency signs ($, €, £, ¥), percentage symbols (%), and thousand separators (,). Parses accounting negatives formatted in parentheses (e.g., (2,450.00) is correctly parsed into -2450).</w:t>
      </w:r>
    </w:p>
    <w:p>
      <w:pPr>
        <w:pStyle w:val="ListNumber"/>
        <w:spacing w:before="20" w:after="40" w:line="276" w:lineRule="auto"/>
      </w:pPr>
      <w:r>
        <w:rPr>
          <w:rFonts w:ascii="Calibri" w:hAnsi="Calibri"/>
          <w:color w:val="1E293B"/>
          <w:sz w:val="20"/>
        </w:rPr>
      </w:r>
      <w:r>
        <w:rPr>
          <w:rFonts w:ascii="Calibri" w:hAnsi="Calibri"/>
          <w:b/>
          <w:color w:val="1E293B"/>
          <w:sz w:val="20"/>
        </w:rPr>
        <w:t>Date Detection</w:t>
      </w:r>
      <w:r>
        <w:rPr>
          <w:rFonts w:ascii="Calibri" w:hAnsi="Calibri"/>
          <w:color w:val="1E293B"/>
          <w:sz w:val="20"/>
        </w:rPr>
        <w:t>: Evaluates temporal patterns (ISO 8601, YYYY-MM-DD, MM/DD/YYYY, DD-MMM-YYYY) and assigns the primary chronological axis for time-series charts.</w:t>
      </w:r>
    </w:p>
    <w:p>
      <w:pPr>
        <w:pStyle w:val="ListNumber"/>
        <w:spacing w:before="20" w:after="40" w:line="276" w:lineRule="auto"/>
      </w:pPr>
      <w:r>
        <w:rPr>
          <w:rFonts w:ascii="Calibri" w:hAnsi="Calibri"/>
          <w:color w:val="1E293B"/>
          <w:sz w:val="20"/>
        </w:rPr>
      </w:r>
      <w:r>
        <w:rPr>
          <w:rFonts w:ascii="Calibri" w:hAnsi="Calibri"/>
          <w:b/>
          <w:color w:val="1E293B"/>
          <w:sz w:val="20"/>
        </w:rPr>
        <w:t>Cardinality &amp; Distribution</w:t>
      </w:r>
      <w:r>
        <w:rPr>
          <w:rFonts w:ascii="Calibri" w:hAnsi="Calibri"/>
          <w:color w:val="1E293B"/>
          <w:sz w:val="20"/>
        </w:rPr>
        <w:t xml:space="preserve">: Calculates null counts, unique distinct values, min, max, average, and recommends whether a column should serve as an analytical </w:t>
      </w:r>
      <w:r>
        <w:rPr>
          <w:rFonts w:ascii="Calibri" w:hAnsi="Calibri"/>
          <w:b/>
          <w:color w:val="1E293B"/>
          <w:sz w:val="20"/>
        </w:rPr>
        <w:t>Dimension</w:t>
      </w:r>
      <w:r>
        <w:rPr>
          <w:rFonts w:ascii="Calibri" w:hAnsi="Calibri"/>
          <w:color w:val="1E293B"/>
          <w:sz w:val="20"/>
        </w:rPr>
        <w:t xml:space="preserve"> (categorical bucket) or a </w:t>
      </w:r>
      <w:r>
        <w:rPr>
          <w:rFonts w:ascii="Calibri" w:hAnsi="Calibri"/>
          <w:b/>
          <w:color w:val="1E293B"/>
          <w:sz w:val="20"/>
        </w:rPr>
        <w:t>Measure</w:t>
      </w:r>
      <w:r>
        <w:rPr>
          <w:rFonts w:ascii="Calibri" w:hAnsi="Calibri"/>
          <w:color w:val="1E293B"/>
          <w:sz w:val="20"/>
        </w:rPr>
        <w:t xml:space="preserve"> (aggregatable metric).</w:t>
      </w:r>
    </w:p>
    <w:p>
      <w:pPr>
        <w:keepNext/>
        <w:spacing w:before="360" w:after="120"/>
      </w:pPr>
      <w:r>
        <w:rPr>
          <w:rFonts w:ascii="Calibri" w:hAnsi="Calibri"/>
          <w:b/>
          <w:color w:val="0F172A"/>
          <w:sz w:val="32"/>
        </w:rPr>
        <w:t>3. Data Modeling Studio &amp; Formula Engine</w:t>
      </w:r>
    </w:p>
    <w:p>
      <w:r>
        <w:drawing>
          <wp:inline xmlns:a="http://schemas.openxmlformats.org/drawingml/2006/main" xmlns:pic="http://schemas.openxmlformats.org/drawingml/2006/picture">
            <wp:extent cx="5852160" cy="3377739"/>
            <wp:docPr id="3" name="Picture 3"/>
            <wp:cNvGraphicFramePr>
              <a:graphicFrameLocks noChangeAspect="1"/>
            </wp:cNvGraphicFramePr>
            <a:graphic>
              <a:graphicData uri="http://schemas.openxmlformats.org/drawingml/2006/picture">
                <pic:pic>
                  <pic:nvPicPr>
                    <pic:cNvPr id="0" name="data_modeling_modal.png"/>
                    <pic:cNvPicPr/>
                  </pic:nvPicPr>
                  <pic:blipFill>
                    <a:blip r:embed="rId13"/>
                    <a:stretch>
                      <a:fillRect/>
                    </a:stretch>
                  </pic:blipFill>
                  <pic:spPr>
                    <a:xfrm>
                      <a:off x="0" y="0"/>
                      <a:ext cx="5852160" cy="3377739"/>
                    </a:xfrm>
                    <a:prstGeom prst="rect"/>
                  </pic:spPr>
                </pic:pic>
              </a:graphicData>
            </a:graphic>
          </wp:inline>
        </w:drawing>
      </w:r>
    </w:p>
    <w:p>
      <w:pPr>
        <w:spacing w:before="60" w:after="240"/>
        <w:jc w:val="center"/>
      </w:pPr>
      <w:r>
        <w:rPr>
          <w:rFonts w:ascii="Calibri" w:hAnsi="Calibri"/>
          <w:i/>
          <w:color w:val="64748B"/>
          <w:sz w:val="17"/>
        </w:rPr>
        <w:t>Data Modeling Studio</w:t>
      </w:r>
    </w:p>
    <w:p>
      <w:pPr>
        <w:keepNext/>
        <w:spacing w:before="280" w:after="80"/>
      </w:pPr>
      <w:r>
        <w:rPr>
          <w:rFonts w:ascii="Calibri" w:hAnsi="Calibri"/>
          <w:b/>
          <w:color w:val="1E293B"/>
          <w:sz w:val="25"/>
        </w:rPr>
        <w:t>3.1 Relational Hash Joins (Multi-Table Merging)</w:t>
      </w:r>
    </w:p>
    <w:p>
      <w:pPr>
        <w:spacing w:before="40" w:after="120" w:line="288" w:lineRule="auto"/>
      </w:pPr>
      <w:r>
        <w:rPr>
          <w:rFonts w:ascii="Calibri" w:hAnsi="Calibri"/>
          <w:color w:val="334155"/>
          <w:sz w:val="20"/>
        </w:rPr>
        <w:t xml:space="preserve">Often business answers require combining two distinct files—such as joining an </w:t>
      </w:r>
      <w:r>
        <w:rPr>
          <w:rFonts w:ascii="Calibri" w:hAnsi="Calibri"/>
          <w:b/>
          <w:color w:val="334155"/>
          <w:sz w:val="20"/>
        </w:rPr>
        <w:t>Orders</w:t>
      </w:r>
      <w:r>
        <w:rPr>
          <w:rFonts w:ascii="Calibri" w:hAnsi="Calibri"/>
          <w:color w:val="334155"/>
          <w:sz w:val="20"/>
        </w:rPr>
        <w:t xml:space="preserve"> table with a </w:t>
      </w:r>
      <w:r>
        <w:rPr>
          <w:rFonts w:ascii="Calibri" w:hAnsi="Calibri"/>
          <w:b/>
          <w:color w:val="334155"/>
          <w:sz w:val="20"/>
        </w:rPr>
        <w:t>Customer Demographics</w:t>
      </w:r>
      <w:r>
        <w:rPr>
          <w:rFonts w:ascii="Calibri" w:hAnsi="Calibri"/>
          <w:color w:val="334155"/>
          <w:sz w:val="20"/>
        </w:rPr>
        <w:t xml:space="preserve"> spreadsheet, or merging </w:t>
      </w:r>
      <w:r>
        <w:rPr>
          <w:rFonts w:ascii="Calibri" w:hAnsi="Calibri"/>
          <w:b/>
          <w:color w:val="334155"/>
          <w:sz w:val="20"/>
        </w:rPr>
        <w:t>Actuals</w:t>
      </w:r>
      <w:r>
        <w:rPr>
          <w:rFonts w:ascii="Calibri" w:hAnsi="Calibri"/>
          <w:color w:val="334155"/>
          <w:sz w:val="20"/>
        </w:rPr>
        <w:t xml:space="preserve"> with </w:t>
      </w:r>
      <w:r>
        <w:rPr>
          <w:rFonts w:ascii="Calibri" w:hAnsi="Calibri"/>
          <w:b/>
          <w:color w:val="334155"/>
          <w:sz w:val="20"/>
        </w:rPr>
        <w:t>Budget Targets</w:t>
      </w:r>
      <w:r>
        <w:rPr>
          <w:rFonts w:ascii="Calibri" w:hAnsi="Calibri"/>
          <w:color w:val="334155"/>
          <w:sz w:val="20"/>
        </w:rPr>
        <w:t>.</w:t>
      </w:r>
    </w:p>
    <w:p>
      <w:pPr>
        <w:keepNext/>
        <w:spacing w:before="200" w:after="60"/>
      </w:pPr>
      <w:r>
        <w:rPr>
          <w:rFonts w:ascii="Calibri" w:hAnsi="Calibri"/>
          <w:b/>
          <w:color w:val="2563EB"/>
          <w:sz w:val="22"/>
        </w:rPr>
        <w:t>How to Join Datasets in OmniDash:</w:t>
      </w:r>
    </w:p>
    <w:p>
      <w:pPr>
        <w:pStyle w:val="ListNumber"/>
        <w:spacing w:before="20" w:after="40" w:line="276" w:lineRule="auto"/>
      </w:pPr>
      <w:r>
        <w:rPr>
          <w:rFonts w:ascii="Calibri" w:hAnsi="Calibri"/>
          <w:color w:val="1E293B"/>
          <w:sz w:val="20"/>
        </w:rPr>
        <w:t xml:space="preserve">Click </w:t>
      </w:r>
      <w:r>
        <w:rPr>
          <w:rFonts w:ascii="Calibri" w:hAnsi="Calibri"/>
          <w:b/>
          <w:color w:val="1E293B"/>
          <w:sz w:val="20"/>
        </w:rPr>
        <w:t>Data Modeling</w:t>
      </w:r>
      <w:r>
        <w:rPr>
          <w:rFonts w:ascii="Calibri" w:hAnsi="Calibri"/>
          <w:color w:val="1E293B"/>
          <w:sz w:val="20"/>
        </w:rPr>
        <w:t xml:space="preserve"> in the top navigation bar.</w:t>
      </w:r>
    </w:p>
    <w:p>
      <w:pPr>
        <w:pStyle w:val="ListNumber"/>
        <w:spacing w:before="20" w:after="40" w:line="276" w:lineRule="auto"/>
      </w:pPr>
      <w:r>
        <w:rPr>
          <w:rFonts w:ascii="Calibri" w:hAnsi="Calibri"/>
          <w:color w:val="1E293B"/>
          <w:sz w:val="20"/>
        </w:rPr>
        <w:t xml:space="preserve">Under </w:t>
      </w:r>
      <w:r>
        <w:rPr>
          <w:rFonts w:ascii="Calibri" w:hAnsi="Calibri"/>
          <w:b/>
          <w:color w:val="1E293B"/>
          <w:sz w:val="20"/>
        </w:rPr>
        <w:t>Merge Secondary Dataset</w:t>
      </w:r>
      <w:r>
        <w:rPr>
          <w:rFonts w:ascii="Calibri" w:hAnsi="Calibri"/>
          <w:color w:val="1E293B"/>
          <w:sz w:val="20"/>
        </w:rPr>
        <w:t>, upload or select your second table.</w:t>
      </w:r>
    </w:p>
    <w:p>
      <w:pPr>
        <w:pStyle w:val="ListNumber"/>
        <w:spacing w:before="20" w:after="40" w:line="276" w:lineRule="auto"/>
      </w:pPr>
      <w:r>
        <w:rPr>
          <w:rFonts w:ascii="Calibri" w:hAnsi="Calibri"/>
          <w:color w:val="1E293B"/>
          <w:sz w:val="20"/>
        </w:rPr>
        <w:t xml:space="preserve">Choose the </w:t>
      </w:r>
      <w:r>
        <w:rPr>
          <w:rFonts w:ascii="Calibri" w:hAnsi="Calibri"/>
          <w:b/>
          <w:color w:val="1E293B"/>
          <w:sz w:val="20"/>
        </w:rPr>
        <w:t>Join Type</w:t>
      </w:r>
      <w:r>
        <w:rPr>
          <w:rFonts w:ascii="Calibri" w:hAnsi="Calibri"/>
          <w:color w:val="1E293B"/>
          <w:sz w:val="20"/>
        </w:rPr>
        <w:t>:</w:t>
      </w:r>
    </w:p>
    <w:p>
      <w:pPr>
        <w:pStyle w:val="ListBullet"/>
        <w:spacing w:before="20" w:after="40" w:line="276" w:lineRule="auto"/>
      </w:pPr>
      <w:r>
        <w:rPr>
          <w:rFonts w:ascii="Calibri" w:hAnsi="Calibri"/>
          <w:color w:val="1E293B"/>
          <w:sz w:val="20"/>
        </w:rPr>
      </w:r>
      <w:r>
        <w:rPr>
          <w:rFonts w:ascii="Calibri" w:hAnsi="Calibri"/>
          <w:b/>
          <w:color w:val="1E293B"/>
          <w:sz w:val="20"/>
        </w:rPr>
        <w:t>Inner Join</w:t>
      </w:r>
      <w:r>
        <w:rPr>
          <w:rFonts w:ascii="Calibri" w:hAnsi="Calibri"/>
          <w:color w:val="1E293B"/>
          <w:sz w:val="20"/>
        </w:rPr>
        <w:t>: Keeps only records where the join key matches in both tables.</w:t>
      </w:r>
    </w:p>
    <w:p>
      <w:pPr>
        <w:pStyle w:val="ListBullet"/>
        <w:spacing w:before="20" w:after="40" w:line="276" w:lineRule="auto"/>
      </w:pPr>
      <w:r>
        <w:rPr>
          <w:rFonts w:ascii="Calibri" w:hAnsi="Calibri"/>
          <w:color w:val="1E293B"/>
          <w:sz w:val="20"/>
        </w:rPr>
      </w:r>
      <w:r>
        <w:rPr>
          <w:rFonts w:ascii="Calibri" w:hAnsi="Calibri"/>
          <w:b/>
          <w:color w:val="1E293B"/>
          <w:sz w:val="20"/>
        </w:rPr>
        <w:t>Left Outer Join</w:t>
      </w:r>
      <w:r>
        <w:rPr>
          <w:rFonts w:ascii="Calibri" w:hAnsi="Calibri"/>
          <w:color w:val="1E293B"/>
          <w:sz w:val="20"/>
        </w:rPr>
        <w:t xml:space="preserve"> *(Most Common)*: Keeps all primary table records, matching data from the secondary table where available.</w:t>
      </w:r>
    </w:p>
    <w:p>
      <w:pPr>
        <w:pStyle w:val="ListBullet"/>
        <w:spacing w:before="20" w:after="40" w:line="276" w:lineRule="auto"/>
      </w:pPr>
      <w:r>
        <w:rPr>
          <w:rFonts w:ascii="Calibri" w:hAnsi="Calibri"/>
          <w:color w:val="1E293B"/>
          <w:sz w:val="20"/>
        </w:rPr>
      </w:r>
      <w:r>
        <w:rPr>
          <w:rFonts w:ascii="Calibri" w:hAnsi="Calibri"/>
          <w:b/>
          <w:color w:val="1E293B"/>
          <w:sz w:val="20"/>
        </w:rPr>
        <w:t>Right Outer Join</w:t>
      </w:r>
      <w:r>
        <w:rPr>
          <w:rFonts w:ascii="Calibri" w:hAnsi="Calibri"/>
          <w:color w:val="1E293B"/>
          <w:sz w:val="20"/>
        </w:rPr>
        <w:t>: Keeps all records from the secondary table.</w:t>
      </w:r>
    </w:p>
    <w:p>
      <w:pPr>
        <w:pStyle w:val="ListBullet"/>
        <w:spacing w:before="20" w:after="40" w:line="276" w:lineRule="auto"/>
      </w:pPr>
      <w:r>
        <w:rPr>
          <w:rFonts w:ascii="Calibri" w:hAnsi="Calibri"/>
          <w:color w:val="1E293B"/>
          <w:sz w:val="20"/>
        </w:rPr>
      </w:r>
      <w:r>
        <w:rPr>
          <w:rFonts w:ascii="Calibri" w:hAnsi="Calibri"/>
          <w:b/>
          <w:color w:val="1E293B"/>
          <w:sz w:val="20"/>
        </w:rPr>
        <w:t>Full Outer Join</w:t>
      </w:r>
      <w:r>
        <w:rPr>
          <w:rFonts w:ascii="Calibri" w:hAnsi="Calibri"/>
          <w:color w:val="1E293B"/>
          <w:sz w:val="20"/>
        </w:rPr>
        <w:t>: Retains all rows from both datasets.</w:t>
      </w:r>
    </w:p>
    <w:p>
      <w:pPr>
        <w:pStyle w:val="ListNumber"/>
        <w:spacing w:before="20" w:after="40" w:line="276" w:lineRule="auto"/>
      </w:pPr>
      <w:r>
        <w:rPr>
          <w:rFonts w:ascii="Calibri" w:hAnsi="Calibri"/>
          <w:color w:val="1E293B"/>
          <w:sz w:val="20"/>
        </w:rPr>
        <w:t>Select the matching key column in Table A and Table B (e.g., CustomerID == Customer_ID).</w:t>
      </w:r>
    </w:p>
    <w:p>
      <w:pPr>
        <w:pStyle w:val="ListNumber"/>
        <w:spacing w:before="20" w:after="40" w:line="276" w:lineRule="auto"/>
      </w:pPr>
      <w:r>
        <w:rPr>
          <w:rFonts w:ascii="Calibri" w:hAnsi="Calibri"/>
          <w:color w:val="1E293B"/>
          <w:sz w:val="20"/>
        </w:rPr>
        <w:t xml:space="preserve">Click </w:t>
      </w:r>
      <w:r>
        <w:rPr>
          <w:rFonts w:ascii="Calibri" w:hAnsi="Calibri"/>
          <w:b/>
          <w:color w:val="1E293B"/>
          <w:sz w:val="20"/>
        </w:rPr>
        <w:t>Execute In-Memory Merge</w:t>
      </w:r>
      <w:r>
        <w:rPr>
          <w:rFonts w:ascii="Calibri" w:hAnsi="Calibri"/>
          <w:color w:val="1E293B"/>
          <w:sz w:val="20"/>
        </w:rPr>
        <w:t>. OmniDash produces a unified consolidated dataset ready for visualization.</w:t>
      </w:r>
    </w:p>
    <w:p>
      <w:pPr>
        <w:pStyle w:val="ListBullet"/>
        <w:spacing w:before="20" w:after="40" w:line="276" w:lineRule="auto"/>
      </w:pPr>
      <w:r>
        <w:rPr>
          <w:rFonts w:ascii="Calibri" w:hAnsi="Calibri"/>
          <w:color w:val="1E293B"/>
          <w:sz w:val="20"/>
        </w:rPr>
      </w:r>
      <w:r>
        <w:rPr>
          <w:rFonts w:ascii="Calibri" w:hAnsi="Calibri"/>
          <w:b/>
          <w:color w:val="1E293B"/>
          <w:sz w:val="20"/>
        </w:rPr>
        <w:t>Behind the Scenes</w:t>
      </w:r>
      <w:r>
        <w:rPr>
          <w:rFonts w:ascii="Calibri" w:hAnsi="Calibri"/>
          <w:color w:val="1E293B"/>
          <w:sz w:val="20"/>
        </w:rPr>
        <w:t xml:space="preserve">: Executes an in-memory </w:t>
      </w:r>
      <w:r>
        <w:rPr>
          <w:rFonts w:ascii="Calibri" w:hAnsi="Calibri"/>
          <w:b/>
          <w:color w:val="1E293B"/>
          <w:sz w:val="20"/>
        </w:rPr>
        <w:t>Hash Join</w:t>
      </w:r>
      <w:r>
        <w:rPr>
          <w:rFonts w:ascii="Calibri" w:hAnsi="Calibri"/>
          <w:color w:val="1E293B"/>
          <w:sz w:val="20"/>
        </w:rPr>
        <w:t xml:space="preserve"> ($O(N + M)$ algorithmic complexity). A lookup hash map is constructed from the smaller dataset, allowing large tables (50,000+ rows) to merge in less than 50 milliseconds directly in browser RAM.</w:t>
      </w:r>
    </w:p>
    <w:p>
      <w:pPr>
        <w:keepNext/>
        <w:spacing w:before="280" w:after="80"/>
      </w:pPr>
      <w:r>
        <w:rPr>
          <w:rFonts w:ascii="Calibri" w:hAnsi="Calibri"/>
          <w:b/>
          <w:color w:val="1E293B"/>
          <w:sz w:val="25"/>
        </w:rPr>
        <w:t>3.2 Advanced Compound Filtering Engine</w:t>
      </w:r>
    </w:p>
    <w:p>
      <w:pPr>
        <w:spacing w:before="40" w:after="120" w:line="288" w:lineRule="auto"/>
      </w:pPr>
      <w:r>
        <w:rPr>
          <w:rFonts w:ascii="Calibri" w:hAnsi="Calibri"/>
          <w:color w:val="334155"/>
          <w:sz w:val="20"/>
        </w:rPr>
        <w:t xml:space="preserve">The </w:t>
      </w:r>
      <w:r>
        <w:rPr>
          <w:rFonts w:ascii="Calibri" w:hAnsi="Calibri"/>
          <w:b/>
          <w:color w:val="334155"/>
          <w:sz w:val="20"/>
        </w:rPr>
        <w:t>Advanced Filters</w:t>
      </w:r>
      <w:r>
        <w:rPr>
          <w:rFonts w:ascii="Calibri" w:hAnsi="Calibri"/>
          <w:color w:val="334155"/>
          <w:sz w:val="20"/>
        </w:rPr>
        <w:t xml:space="preserve"> dialog allows building multi-layer logic rules across multiple columns simultaneously:</w:t>
      </w:r>
    </w:p>
    <w:p>
      <w:pPr>
        <w:pStyle w:val="ListBullet"/>
        <w:spacing w:before="20" w:after="40" w:line="276" w:lineRule="auto"/>
      </w:pPr>
      <w:r>
        <w:rPr>
          <w:rFonts w:ascii="Calibri" w:hAnsi="Calibri"/>
          <w:color w:val="1E293B"/>
          <w:sz w:val="20"/>
        </w:rPr>
      </w:r>
      <w:r>
        <w:rPr>
          <w:rFonts w:ascii="Calibri" w:hAnsi="Calibri"/>
          <w:b/>
          <w:color w:val="1E293B"/>
          <w:sz w:val="20"/>
        </w:rPr>
        <w:t>Condition Operators</w:t>
      </w:r>
      <w:r>
        <w:rPr>
          <w:rFonts w:ascii="Calibri" w:hAnsi="Calibri"/>
          <w:color w:val="1E293B"/>
          <w:sz w:val="20"/>
        </w:rPr>
        <w:t>: Equals, Does Not Equal, Greater Than (&gt;), Less Than (&lt;), Contains, Starts With, Is Blank, Is Not Blank.</w:t>
      </w:r>
    </w:p>
    <w:p>
      <w:pPr>
        <w:pStyle w:val="ListBullet"/>
        <w:spacing w:before="20" w:after="40" w:line="276" w:lineRule="auto"/>
      </w:pPr>
      <w:r>
        <w:rPr>
          <w:rFonts w:ascii="Calibri" w:hAnsi="Calibri"/>
          <w:color w:val="1E293B"/>
          <w:sz w:val="20"/>
        </w:rPr>
      </w:r>
      <w:r>
        <w:rPr>
          <w:rFonts w:ascii="Calibri" w:hAnsi="Calibri"/>
          <w:b/>
          <w:color w:val="1E293B"/>
          <w:sz w:val="20"/>
        </w:rPr>
        <w:t>Boolean Logic</w:t>
      </w:r>
      <w:r>
        <w:rPr>
          <w:rFonts w:ascii="Calibri" w:hAnsi="Calibri"/>
          <w:color w:val="1E293B"/>
          <w:sz w:val="20"/>
        </w:rPr>
        <w:t>: Toggle between AND (all rules must be satisfied) and OR (any rule can match).</w:t>
      </w:r>
    </w:p>
    <w:p>
      <w:pPr>
        <w:pStyle w:val="ListBullet"/>
        <w:spacing w:before="20" w:after="40" w:line="276" w:lineRule="auto"/>
      </w:pPr>
      <w:r>
        <w:rPr>
          <w:rFonts w:ascii="Calibri" w:hAnsi="Calibri"/>
          <w:color w:val="1E293B"/>
          <w:sz w:val="20"/>
        </w:rPr>
      </w:r>
      <w:r>
        <w:rPr>
          <w:rFonts w:ascii="Calibri" w:hAnsi="Calibri"/>
          <w:b/>
          <w:color w:val="1E293B"/>
          <w:sz w:val="20"/>
        </w:rPr>
        <w:t>Safe State Reset</w:t>
      </w:r>
      <w:r>
        <w:rPr>
          <w:rFonts w:ascii="Calibri" w:hAnsi="Calibri"/>
          <w:color w:val="1E293B"/>
          <w:sz w:val="20"/>
        </w:rPr>
        <w:t>: When switching between different datasets, compound rules are automatically cleared to avoid filtering out newly loaded data.</w:t>
      </w:r>
    </w:p>
    <w:p>
      <w:pPr>
        <w:keepNext/>
        <w:spacing w:before="280" w:after="80"/>
      </w:pPr>
      <w:r>
        <w:rPr>
          <w:rFonts w:ascii="Calibri" w:hAnsi="Calibri"/>
          <w:b/>
          <w:color w:val="1E293B"/>
          <w:sz w:val="25"/>
        </w:rPr>
        <w:t>3.3 Custom Formula &amp; Calculated Fields Engine</w:t>
      </w:r>
    </w:p>
    <w:p>
      <w:r>
        <w:drawing>
          <wp:inline xmlns:a="http://schemas.openxmlformats.org/drawingml/2006/main" xmlns:pic="http://schemas.openxmlformats.org/drawingml/2006/picture">
            <wp:extent cx="5852160" cy="3377739"/>
            <wp:docPr id="4" name="Picture 4"/>
            <wp:cNvGraphicFramePr>
              <a:graphicFrameLocks noChangeAspect="1"/>
            </wp:cNvGraphicFramePr>
            <a:graphic>
              <a:graphicData uri="http://schemas.openxmlformats.org/drawingml/2006/picture">
                <pic:pic>
                  <pic:nvPicPr>
                    <pic:cNvPr id="0" name="formula_engine_modal.png"/>
                    <pic:cNvPicPr/>
                  </pic:nvPicPr>
                  <pic:blipFill>
                    <a:blip r:embed="rId14"/>
                    <a:stretch>
                      <a:fillRect/>
                    </a:stretch>
                  </pic:blipFill>
                  <pic:spPr>
                    <a:xfrm>
                      <a:off x="0" y="0"/>
                      <a:ext cx="5852160" cy="3377739"/>
                    </a:xfrm>
                    <a:prstGeom prst="rect"/>
                  </pic:spPr>
                </pic:pic>
              </a:graphicData>
            </a:graphic>
          </wp:inline>
        </w:drawing>
      </w:r>
    </w:p>
    <w:p>
      <w:pPr>
        <w:spacing w:before="60" w:after="240"/>
        <w:jc w:val="center"/>
      </w:pPr>
      <w:r>
        <w:rPr>
          <w:rFonts w:ascii="Calibri" w:hAnsi="Calibri"/>
          <w:i/>
          <w:color w:val="64748B"/>
          <w:sz w:val="17"/>
        </w:rPr>
        <w:t>Formula Engine Modal</w:t>
      </w:r>
    </w:p>
    <w:p>
      <w:pPr>
        <w:spacing w:before="40" w:after="120" w:line="288" w:lineRule="auto"/>
      </w:pPr>
      <w:r>
        <w:rPr>
          <w:rFonts w:ascii="Calibri" w:hAnsi="Calibri"/>
          <w:color w:val="334155"/>
          <w:sz w:val="20"/>
        </w:rPr>
        <w:t>OmniDash includes an Excel-like formula builder that adds calculated columns to your dataset on the fly.</w:t>
      </w:r>
    </w:p>
    <w:p>
      <w:pPr>
        <w:keepNext/>
        <w:spacing w:before="200" w:after="60"/>
      </w:pPr>
      <w:r>
        <w:rPr>
          <w:rFonts w:ascii="Calibri" w:hAnsi="Calibri"/>
          <w:b/>
          <w:color w:val="2563EB"/>
          <w:sz w:val="22"/>
        </w:rPr>
        <w:t>Formula Syntax &amp; Token Substitution:</w:t>
      </w:r>
    </w:p>
    <w:p>
      <w:pPr>
        <w:spacing w:before="40" w:after="120" w:line="288" w:lineRule="auto"/>
      </w:pPr>
      <w:r>
        <w:rPr>
          <w:rFonts w:ascii="Calibri" w:hAnsi="Calibri"/>
          <w:color w:val="334155"/>
          <w:sz w:val="20"/>
        </w:rPr>
        <w:t>Columns are referenced in square brackets: [ColumnName].</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312"/>
        <w:gridCol w:w="3312"/>
        <w:gridCol w:w="3312"/>
      </w:tblGrid>
      <w:tr>
        <w:tc>
          <w:tcPr>
            <w:tcW w:type="dxa" w:w="3312"/>
            <w:shd w:fill="1E293B"/>
            <w:tcMar>
              <w:top w:w="80" w:type="dxa"/>
              <w:bottom w:w="80" w:type="dxa"/>
              <w:left w:w="100" w:type="dxa"/>
              <w:right w:w="100" w:type="dxa"/>
            </w:tcMar>
          </w:tcPr>
          <w:p>
            <w:r>
              <w:rPr>
                <w:rFonts w:ascii="Calibri" w:hAnsi="Calibri"/>
                <w:b/>
                <w:color w:val="FFFFFF"/>
                <w:sz w:val="19"/>
              </w:rPr>
              <w:t>Formula Pattern</w:t>
            </w:r>
          </w:p>
        </w:tc>
        <w:tc>
          <w:tcPr>
            <w:tcW w:type="dxa" w:w="3312"/>
            <w:shd w:fill="1E293B"/>
            <w:tcMar>
              <w:top w:w="80" w:type="dxa"/>
              <w:bottom w:w="80" w:type="dxa"/>
              <w:left w:w="100" w:type="dxa"/>
              <w:right w:w="100" w:type="dxa"/>
            </w:tcMar>
          </w:tcPr>
          <w:p>
            <w:r>
              <w:rPr>
                <w:rFonts w:ascii="Calibri" w:hAnsi="Calibri"/>
                <w:b/>
                <w:color w:val="FFFFFF"/>
                <w:sz w:val="19"/>
              </w:rPr>
              <w:t>Example Expression</w:t>
            </w:r>
          </w:p>
        </w:tc>
        <w:tc>
          <w:tcPr>
            <w:tcW w:type="dxa" w:w="3312"/>
            <w:shd w:fill="1E293B"/>
            <w:tcMar>
              <w:top w:w="80" w:type="dxa"/>
              <w:bottom w:w="80" w:type="dxa"/>
              <w:left w:w="100" w:type="dxa"/>
              <w:right w:w="100" w:type="dxa"/>
            </w:tcMar>
          </w:tcPr>
          <w:p>
            <w:r>
              <w:rPr>
                <w:rFonts w:ascii="Calibri" w:hAnsi="Calibri"/>
                <w:b/>
                <w:color w:val="FFFFFF"/>
                <w:sz w:val="19"/>
              </w:rPr>
              <w:t>Real-World Use Case</w:t>
            </w:r>
          </w:p>
        </w:tc>
      </w:tr>
      <w:tr>
        <w:tc>
          <w:tcPr>
            <w:tcW w:type="dxa" w:w="3312"/>
            <w:shd w:fill="FFFFFF"/>
            <w:tcMar>
              <w:top w:w="60" w:type="dxa"/>
              <w:bottom w:w="60" w:type="dxa"/>
              <w:left w:w="100" w:type="dxa"/>
              <w:right w:w="100" w:type="dxa"/>
            </w:tcMar>
          </w:tcPr>
          <w:p>
            <w:r>
              <w:rPr>
                <w:rFonts w:ascii="Calibri" w:hAnsi="Calibri"/>
                <w:color w:val="1E293B"/>
                <w:sz w:val="18"/>
              </w:rPr>
              <w:t>Arithmetic</w:t>
            </w:r>
          </w:p>
        </w:tc>
        <w:tc>
          <w:tcPr>
            <w:tcW w:type="dxa" w:w="3312"/>
            <w:shd w:fill="FFFFFF"/>
            <w:tcMar>
              <w:top w:w="60" w:type="dxa"/>
              <w:bottom w:w="60" w:type="dxa"/>
              <w:left w:w="100" w:type="dxa"/>
              <w:right w:w="100" w:type="dxa"/>
            </w:tcMar>
          </w:tcPr>
          <w:p>
            <w:r>
              <w:rPr>
                <w:rFonts w:ascii="Calibri" w:hAnsi="Calibri"/>
                <w:color w:val="1E293B"/>
                <w:sz w:val="18"/>
              </w:rPr>
              <w:t>[Revenue] - [COGS]</w:t>
            </w:r>
          </w:p>
        </w:tc>
        <w:tc>
          <w:tcPr>
            <w:tcW w:type="dxa" w:w="3312"/>
            <w:shd w:fill="FFFFFF"/>
            <w:tcMar>
              <w:top w:w="60" w:type="dxa"/>
              <w:bottom w:w="60" w:type="dxa"/>
              <w:left w:w="100" w:type="dxa"/>
              <w:right w:w="100" w:type="dxa"/>
            </w:tcMar>
          </w:tcPr>
          <w:p>
            <w:r>
              <w:rPr>
                <w:rFonts w:ascii="Calibri" w:hAnsi="Calibri"/>
                <w:color w:val="1E293B"/>
                <w:sz w:val="18"/>
              </w:rPr>
              <w:t>Gross Profit calculation</w:t>
            </w:r>
          </w:p>
        </w:tc>
      </w:tr>
      <w:tr>
        <w:tc>
          <w:tcPr>
            <w:tcW w:type="dxa" w:w="3312"/>
            <w:shd w:fill="F8FAFC"/>
            <w:tcMar>
              <w:top w:w="60" w:type="dxa"/>
              <w:bottom w:w="60" w:type="dxa"/>
              <w:left w:w="100" w:type="dxa"/>
              <w:right w:w="100" w:type="dxa"/>
            </w:tcMar>
          </w:tcPr>
          <w:p>
            <w:r>
              <w:rPr>
                <w:rFonts w:ascii="Calibri" w:hAnsi="Calibri"/>
                <w:color w:val="1E293B"/>
                <w:sz w:val="18"/>
              </w:rPr>
              <w:t>Percentages &amp; Margins</w:t>
            </w:r>
          </w:p>
        </w:tc>
        <w:tc>
          <w:tcPr>
            <w:tcW w:type="dxa" w:w="3312"/>
            <w:shd w:fill="F8FAFC"/>
            <w:tcMar>
              <w:top w:w="60" w:type="dxa"/>
              <w:bottom w:w="60" w:type="dxa"/>
              <w:left w:w="100" w:type="dxa"/>
              <w:right w:w="100" w:type="dxa"/>
            </w:tcMar>
          </w:tcPr>
          <w:p>
            <w:r>
              <w:rPr>
                <w:rFonts w:ascii="Calibri" w:hAnsi="Calibri"/>
                <w:color w:val="1E293B"/>
                <w:sz w:val="18"/>
              </w:rPr>
              <w:t>(([Revenue] - [COGS]) / [Revenue]) * 100</w:t>
            </w:r>
          </w:p>
        </w:tc>
        <w:tc>
          <w:tcPr>
            <w:tcW w:type="dxa" w:w="3312"/>
            <w:shd w:fill="F8FAFC"/>
            <w:tcMar>
              <w:top w:w="60" w:type="dxa"/>
              <w:bottom w:w="60" w:type="dxa"/>
              <w:left w:w="100" w:type="dxa"/>
              <w:right w:w="100" w:type="dxa"/>
            </w:tcMar>
          </w:tcPr>
          <w:p>
            <w:r>
              <w:rPr>
                <w:rFonts w:ascii="Calibri" w:hAnsi="Calibri"/>
                <w:color w:val="1E293B"/>
                <w:sz w:val="18"/>
              </w:rPr>
              <w:t>Gross Margin %</w:t>
            </w:r>
          </w:p>
        </w:tc>
      </w:tr>
      <w:tr>
        <w:tc>
          <w:tcPr>
            <w:tcW w:type="dxa" w:w="3312"/>
            <w:shd w:fill="FFFFFF"/>
            <w:tcMar>
              <w:top w:w="60" w:type="dxa"/>
              <w:bottom w:w="60" w:type="dxa"/>
              <w:left w:w="100" w:type="dxa"/>
              <w:right w:w="100" w:type="dxa"/>
            </w:tcMar>
          </w:tcPr>
          <w:p>
            <w:r>
              <w:rPr>
                <w:rFonts w:ascii="Calibri" w:hAnsi="Calibri"/>
                <w:color w:val="1E293B"/>
                <w:sz w:val="18"/>
              </w:rPr>
              <w:t>Conditional Logic</w:t>
            </w:r>
          </w:p>
        </w:tc>
        <w:tc>
          <w:tcPr>
            <w:tcW w:type="dxa" w:w="3312"/>
            <w:shd w:fill="FFFFFF"/>
            <w:tcMar>
              <w:top w:w="60" w:type="dxa"/>
              <w:bottom w:w="60" w:type="dxa"/>
              <w:left w:w="100" w:type="dxa"/>
              <w:right w:w="100" w:type="dxa"/>
            </w:tcMar>
          </w:tcPr>
          <w:p>
            <w:r>
              <w:rPr>
                <w:rFonts w:ascii="Calibri" w:hAnsi="Calibri"/>
                <w:color w:val="1E293B"/>
                <w:sz w:val="18"/>
              </w:rPr>
              <w:t>IF([Profit] &gt; 0, [Revenue] * 0.05, 0)</w:t>
            </w:r>
          </w:p>
        </w:tc>
        <w:tc>
          <w:tcPr>
            <w:tcW w:type="dxa" w:w="3312"/>
            <w:shd w:fill="FFFFFF"/>
            <w:tcMar>
              <w:top w:w="60" w:type="dxa"/>
              <w:bottom w:w="60" w:type="dxa"/>
              <w:left w:w="100" w:type="dxa"/>
              <w:right w:w="100" w:type="dxa"/>
            </w:tcMar>
          </w:tcPr>
          <w:p>
            <w:r>
              <w:rPr>
                <w:rFonts w:ascii="Calibri" w:hAnsi="Calibri"/>
                <w:color w:val="1E293B"/>
                <w:sz w:val="18"/>
              </w:rPr>
              <w:t>Sales commission calculation</w:t>
            </w:r>
          </w:p>
        </w:tc>
      </w:tr>
      <w:tr>
        <w:tc>
          <w:tcPr>
            <w:tcW w:type="dxa" w:w="3312"/>
            <w:shd w:fill="F8FAFC"/>
            <w:tcMar>
              <w:top w:w="60" w:type="dxa"/>
              <w:bottom w:w="60" w:type="dxa"/>
              <w:left w:w="100" w:type="dxa"/>
              <w:right w:w="100" w:type="dxa"/>
            </w:tcMar>
          </w:tcPr>
          <w:p>
            <w:r>
              <w:rPr>
                <w:rFonts w:ascii="Calibri" w:hAnsi="Calibri"/>
                <w:color w:val="1E293B"/>
                <w:sz w:val="18"/>
              </w:rPr>
              <w:t>Multi-Argument Limits</w:t>
            </w:r>
          </w:p>
        </w:tc>
        <w:tc>
          <w:tcPr>
            <w:tcW w:type="dxa" w:w="3312"/>
            <w:shd w:fill="F8FAFC"/>
            <w:tcMar>
              <w:top w:w="60" w:type="dxa"/>
              <w:bottom w:w="60" w:type="dxa"/>
              <w:left w:w="100" w:type="dxa"/>
              <w:right w:w="100" w:type="dxa"/>
            </w:tcMar>
          </w:tcPr>
          <w:p>
            <w:r>
              <w:rPr>
                <w:rFonts w:ascii="Calibri" w:hAnsi="Calibri"/>
                <w:color w:val="1E293B"/>
                <w:sz w:val="18"/>
              </w:rPr>
              <w:t>MIN([Revenue], [Target])</w:t>
            </w:r>
          </w:p>
        </w:tc>
        <w:tc>
          <w:tcPr>
            <w:tcW w:type="dxa" w:w="3312"/>
            <w:shd w:fill="F8FAFC"/>
            <w:tcMar>
              <w:top w:w="60" w:type="dxa"/>
              <w:bottom w:w="60" w:type="dxa"/>
              <w:left w:w="100" w:type="dxa"/>
              <w:right w:w="100" w:type="dxa"/>
            </w:tcMar>
          </w:tcPr>
          <w:p>
            <w:r>
              <w:rPr>
                <w:rFonts w:ascii="Calibri" w:hAnsi="Calibri"/>
                <w:color w:val="1E293B"/>
                <w:sz w:val="18"/>
              </w:rPr>
              <w:t>Capped performance quota</w:t>
            </w:r>
          </w:p>
        </w:tc>
      </w:tr>
      <w:tr>
        <w:tc>
          <w:tcPr>
            <w:tcW w:type="dxa" w:w="3312"/>
            <w:shd w:fill="FFFFFF"/>
            <w:tcMar>
              <w:top w:w="60" w:type="dxa"/>
              <w:bottom w:w="60" w:type="dxa"/>
              <w:left w:w="100" w:type="dxa"/>
              <w:right w:w="100" w:type="dxa"/>
            </w:tcMar>
          </w:tcPr>
          <w:p>
            <w:r>
              <w:rPr>
                <w:rFonts w:ascii="Calibri" w:hAnsi="Calibri"/>
                <w:color w:val="1E293B"/>
                <w:sz w:val="18"/>
              </w:rPr>
              <w:t>Floor / Benchmark</w:t>
            </w:r>
          </w:p>
        </w:tc>
        <w:tc>
          <w:tcPr>
            <w:tcW w:type="dxa" w:w="3312"/>
            <w:shd w:fill="FFFFFF"/>
            <w:tcMar>
              <w:top w:w="60" w:type="dxa"/>
              <w:bottom w:w="60" w:type="dxa"/>
              <w:left w:w="100" w:type="dxa"/>
              <w:right w:w="100" w:type="dxa"/>
            </w:tcMar>
          </w:tcPr>
          <w:p>
            <w:r>
              <w:rPr>
                <w:rFonts w:ascii="Calibri" w:hAnsi="Calibri"/>
                <w:color w:val="1E293B"/>
                <w:sz w:val="18"/>
              </w:rPr>
              <w:t>MAX([COGS], 1000)</w:t>
            </w:r>
          </w:p>
        </w:tc>
        <w:tc>
          <w:tcPr>
            <w:tcW w:type="dxa" w:w="3312"/>
            <w:shd w:fill="FFFFFF"/>
            <w:tcMar>
              <w:top w:w="60" w:type="dxa"/>
              <w:bottom w:w="60" w:type="dxa"/>
              <w:left w:w="100" w:type="dxa"/>
              <w:right w:w="100" w:type="dxa"/>
            </w:tcMar>
          </w:tcPr>
          <w:p>
            <w:r>
              <w:rPr>
                <w:rFonts w:ascii="Calibri" w:hAnsi="Calibri"/>
                <w:color w:val="1E293B"/>
                <w:sz w:val="18"/>
              </w:rPr>
              <w:t>Enforcing baseline expense thresholds</w:t>
            </w:r>
          </w:p>
        </w:tc>
      </w:tr>
      <w:tr>
        <w:tc>
          <w:tcPr>
            <w:tcW w:type="dxa" w:w="3312"/>
            <w:shd w:fill="F8FAFC"/>
            <w:tcMar>
              <w:top w:w="60" w:type="dxa"/>
              <w:bottom w:w="60" w:type="dxa"/>
              <w:left w:w="100" w:type="dxa"/>
              <w:right w:w="100" w:type="dxa"/>
            </w:tcMar>
          </w:tcPr>
          <w:p>
            <w:r>
              <w:rPr>
                <w:rFonts w:ascii="Calibri" w:hAnsi="Calibri"/>
                <w:color w:val="1E293B"/>
                <w:sz w:val="18"/>
              </w:rPr>
              <w:t>Mathematical Functions</w:t>
            </w:r>
          </w:p>
        </w:tc>
        <w:tc>
          <w:tcPr>
            <w:tcW w:type="dxa" w:w="3312"/>
            <w:shd w:fill="F8FAFC"/>
            <w:tcMar>
              <w:top w:w="60" w:type="dxa"/>
              <w:bottom w:w="60" w:type="dxa"/>
              <w:left w:w="100" w:type="dxa"/>
              <w:right w:w="100" w:type="dxa"/>
            </w:tcMar>
          </w:tcPr>
          <w:p>
            <w:r>
              <w:rPr>
                <w:rFonts w:ascii="Calibri" w:hAnsi="Calibri"/>
                <w:color w:val="1E293B"/>
                <w:sz w:val="18"/>
              </w:rPr>
              <w:t>ROUND(SQRT([Variance]), 2)</w:t>
            </w:r>
          </w:p>
        </w:tc>
        <w:tc>
          <w:tcPr>
            <w:tcW w:type="dxa" w:w="3312"/>
            <w:shd w:fill="F8FAFC"/>
            <w:tcMar>
              <w:top w:w="60" w:type="dxa"/>
              <w:bottom w:w="60" w:type="dxa"/>
              <w:left w:w="100" w:type="dxa"/>
              <w:right w:w="100" w:type="dxa"/>
            </w:tcMar>
          </w:tcPr>
          <w:p>
            <w:r>
              <w:rPr>
                <w:rFonts w:ascii="Calibri" w:hAnsi="Calibri"/>
                <w:color w:val="1E293B"/>
                <w:sz w:val="18"/>
              </w:rPr>
              <w:t>Volatility &amp; variance metrics</w:t>
            </w:r>
          </w:p>
        </w:tc>
      </w:tr>
    </w:tbl>
    <w:p>
      <w:pPr>
        <w:spacing w:before="40" w:after="160"/>
      </w:pPr>
    </w:p>
    <w:p>
      <w:pPr>
        <w:keepNext/>
        <w:spacing w:before="200" w:after="60"/>
      </w:pPr>
      <w:r>
        <w:rPr>
          <w:rFonts w:ascii="Calibri" w:hAnsi="Calibri"/>
          <w:b/>
          <w:color w:val="2563EB"/>
          <w:sz w:val="22"/>
        </w:rPr>
        <w:t>Supported Formula Functions:</w:t>
      </w:r>
    </w:p>
    <w:p>
      <w:pPr>
        <w:pStyle w:val="ListBullet"/>
        <w:spacing w:before="20" w:after="40" w:line="276" w:lineRule="auto"/>
      </w:pPr>
      <w:r>
        <w:rPr>
          <w:rFonts w:ascii="Calibri" w:hAnsi="Calibri"/>
          <w:color w:val="1E293B"/>
          <w:sz w:val="20"/>
        </w:rPr>
        <w:t>+, -, *, /, ( , ): Standard arithmetic precedence.</w:t>
      </w:r>
    </w:p>
    <w:p>
      <w:pPr>
        <w:pStyle w:val="ListBullet"/>
        <w:spacing w:before="20" w:after="40" w:line="276" w:lineRule="auto"/>
      </w:pPr>
      <w:r>
        <w:rPr>
          <w:rFonts w:ascii="Calibri" w:hAnsi="Calibri"/>
          <w:color w:val="1E293B"/>
          <w:sz w:val="20"/>
        </w:rPr>
        <w:t>IF(condition, true_value, false_value): Ternary conditional branching.</w:t>
      </w:r>
    </w:p>
    <w:p>
      <w:pPr>
        <w:pStyle w:val="ListBullet"/>
        <w:spacing w:before="20" w:after="40" w:line="276" w:lineRule="auto"/>
      </w:pPr>
      <w:r>
        <w:rPr>
          <w:rFonts w:ascii="Calibri" w:hAnsi="Calibri"/>
          <w:color w:val="1E293B"/>
          <w:sz w:val="20"/>
        </w:rPr>
        <w:t>MIN(a, b) / MAX(a, b): Multi-argument boundary clipping.</w:t>
      </w:r>
    </w:p>
    <w:p>
      <w:pPr>
        <w:pStyle w:val="ListBullet"/>
        <w:spacing w:before="20" w:after="40" w:line="276" w:lineRule="auto"/>
      </w:pPr>
      <w:r>
        <w:rPr>
          <w:rFonts w:ascii="Calibri" w:hAnsi="Calibri"/>
          <w:color w:val="1E293B"/>
          <w:sz w:val="20"/>
        </w:rPr>
        <w:t>ROUND(val, decimals): Standard precision rounding.</w:t>
      </w:r>
    </w:p>
    <w:p>
      <w:pPr>
        <w:pStyle w:val="ListBullet"/>
        <w:spacing w:before="20" w:after="40" w:line="276" w:lineRule="auto"/>
      </w:pPr>
      <w:r>
        <w:rPr>
          <w:rFonts w:ascii="Calibri" w:hAnsi="Calibri"/>
          <w:color w:val="1E293B"/>
          <w:sz w:val="20"/>
        </w:rPr>
        <w:t>ABS(val): Absolute positive value.</w:t>
      </w:r>
    </w:p>
    <w:p>
      <w:pPr>
        <w:pStyle w:val="ListBullet"/>
        <w:spacing w:before="20" w:after="40" w:line="276" w:lineRule="auto"/>
      </w:pPr>
      <w:r>
        <w:rPr>
          <w:rFonts w:ascii="Calibri" w:hAnsi="Calibri"/>
          <w:color w:val="1E293B"/>
          <w:sz w:val="20"/>
        </w:rPr>
        <w:t>SQRT(val): Square root.</w:t>
      </w:r>
    </w:p>
    <w:p>
      <w:pPr>
        <w:pStyle w:val="ListBullet"/>
        <w:spacing w:before="20" w:after="40" w:line="276" w:lineRule="auto"/>
      </w:pPr>
      <w:r>
        <w:rPr>
          <w:rFonts w:ascii="Calibri" w:hAnsi="Calibri"/>
          <w:color w:val="1E293B"/>
          <w:sz w:val="20"/>
        </w:rPr>
        <w:t>LOG(val) / LN(val): Base-10 and natural logarithms.</w:t>
      </w:r>
    </w:p>
    <w:p>
      <w:pPr>
        <w:pStyle w:val="ListBullet"/>
        <w:spacing w:before="20" w:after="40" w:line="276" w:lineRule="auto"/>
      </w:pPr>
      <w:r>
        <w:rPr>
          <w:rFonts w:ascii="Calibri" w:hAnsi="Calibri"/>
          <w:color w:val="1E293B"/>
          <w:sz w:val="20"/>
        </w:rPr>
      </w:r>
      <w:r>
        <w:rPr>
          <w:rFonts w:ascii="Calibri" w:hAnsi="Calibri"/>
          <w:b/>
          <w:color w:val="1E293B"/>
          <w:sz w:val="20"/>
        </w:rPr>
        <w:t>Behind the Scenes (Security &amp; Execution)</w:t>
      </w:r>
      <w:r>
        <w:rPr>
          <w:rFonts w:ascii="Calibri" w:hAnsi="Calibri"/>
          <w:color w:val="1E293B"/>
          <w:sz w:val="20"/>
        </w:rPr>
        <w:t>: User formulas are verified against a strict lexical character allowlist to eliminate code injection vectors. The engine compiles the expression into a vectorized row evaluator function, processing thousands of records with zero DOM lag.</w:t>
      </w:r>
    </w:p>
    <w:p>
      <w:pPr>
        <w:keepNext/>
        <w:spacing w:before="360" w:after="120"/>
      </w:pPr>
      <w:r>
        <w:rPr>
          <w:rFonts w:ascii="Calibri" w:hAnsi="Calibri"/>
          <w:b/>
          <w:color w:val="0F172A"/>
          <w:sz w:val="32"/>
        </w:rPr>
        <w:t>4. Executive KPI Management &amp; Metric Math</w:t>
      </w:r>
    </w:p>
    <w:p>
      <w:pPr>
        <w:spacing w:before="40" w:after="120" w:line="288" w:lineRule="auto"/>
      </w:pPr>
      <w:r>
        <w:rPr>
          <w:rFonts w:ascii="Calibri" w:hAnsi="Calibri"/>
          <w:color w:val="334155"/>
          <w:sz w:val="20"/>
        </w:rPr>
        <w:t xml:space="preserve">At the top of the dashboard sits the </w:t>
      </w:r>
      <w:r>
        <w:rPr>
          <w:rFonts w:ascii="Calibri" w:hAnsi="Calibri"/>
          <w:b/>
          <w:color w:val="334155"/>
          <w:sz w:val="20"/>
        </w:rPr>
        <w:t>Executive Scorecard</w:t>
      </w:r>
      <w:r>
        <w:rPr>
          <w:rFonts w:ascii="Calibri" w:hAnsi="Calibri"/>
          <w:color w:val="334155"/>
          <w:sz w:val="20"/>
        </w:rPr>
        <w:t>, displaying critical business velocity metrics at a glance.</w:t>
      </w:r>
    </w:p>
    <w:p>
      <w:r>
        <w:drawing>
          <wp:inline xmlns:a="http://schemas.openxmlformats.org/drawingml/2006/main" xmlns:pic="http://schemas.openxmlformats.org/drawingml/2006/picture">
            <wp:extent cx="5852160" cy="3377739"/>
            <wp:docPr id="5" name="Picture 5"/>
            <wp:cNvGraphicFramePr>
              <a:graphicFrameLocks noChangeAspect="1"/>
            </wp:cNvGraphicFramePr>
            <a:graphic>
              <a:graphicData uri="http://schemas.openxmlformats.org/drawingml/2006/picture">
                <pic:pic>
                  <pic:nvPicPr>
                    <pic:cNvPr id="0" name="theme_sapphire_ocean.png"/>
                    <pic:cNvPicPr/>
                  </pic:nvPicPr>
                  <pic:blipFill>
                    <a:blip r:embed="rId15"/>
                    <a:stretch>
                      <a:fillRect/>
                    </a:stretch>
                  </pic:blipFill>
                  <pic:spPr>
                    <a:xfrm>
                      <a:off x="0" y="0"/>
                      <a:ext cx="5852160" cy="3377739"/>
                    </a:xfrm>
                    <a:prstGeom prst="rect"/>
                  </pic:spPr>
                </pic:pic>
              </a:graphicData>
            </a:graphic>
          </wp:inline>
        </w:drawing>
      </w:r>
    </w:p>
    <w:p>
      <w:pPr>
        <w:spacing w:before="60" w:after="240"/>
        <w:jc w:val="center"/>
      </w:pPr>
      <w:r>
        <w:rPr>
          <w:rFonts w:ascii="Calibri" w:hAnsi="Calibri"/>
          <w:i/>
          <w:color w:val="64748B"/>
          <w:sz w:val="17"/>
        </w:rPr>
        <w:t>Theme Sapphire Ocean</w:t>
      </w:r>
    </w:p>
    <w:p>
      <w:pPr>
        <w:keepNext/>
        <w:spacing w:before="280" w:after="80"/>
      </w:pPr>
      <w:r>
        <w:rPr>
          <w:rFonts w:ascii="Calibri" w:hAnsi="Calibri"/>
          <w:b/>
          <w:color w:val="1E293B"/>
          <w:sz w:val="25"/>
        </w:rPr>
        <w:t>4.1 Configuring KPI Cards</w:t>
      </w:r>
    </w:p>
    <w:p>
      <w:pPr>
        <w:spacing w:before="40" w:after="120" w:line="288" w:lineRule="auto"/>
      </w:pPr>
      <w:r>
        <w:rPr>
          <w:rFonts w:ascii="Calibri" w:hAnsi="Calibri"/>
          <w:color w:val="334155"/>
          <w:sz w:val="20"/>
        </w:rPr>
        <w:t xml:space="preserve">Click the </w:t>
      </w:r>
      <w:r>
        <w:rPr>
          <w:rFonts w:ascii="Calibri" w:hAnsi="Calibri"/>
          <w:b/>
          <w:color w:val="334155"/>
          <w:sz w:val="20"/>
        </w:rPr>
        <w:t>Manage KPIs</w:t>
      </w:r>
      <w:r>
        <w:rPr>
          <w:rFonts w:ascii="Calibri" w:hAnsi="Calibri"/>
          <w:color w:val="334155"/>
          <w:sz w:val="20"/>
        </w:rPr>
        <w:t xml:space="preserve"> button on the scorecard to:</w:t>
      </w:r>
    </w:p>
    <w:p>
      <w:pPr>
        <w:pStyle w:val="ListBullet"/>
        <w:spacing w:before="20" w:after="40" w:line="276" w:lineRule="auto"/>
      </w:pPr>
      <w:r>
        <w:rPr>
          <w:rFonts w:ascii="Calibri" w:hAnsi="Calibri"/>
          <w:color w:val="1E293B"/>
          <w:sz w:val="20"/>
        </w:rPr>
        <w:t>Add or remove metrics from the scorecard.</w:t>
      </w:r>
    </w:p>
    <w:p>
      <w:pPr>
        <w:pStyle w:val="ListBullet"/>
        <w:spacing w:before="20" w:after="40" w:line="276" w:lineRule="auto"/>
      </w:pPr>
      <w:r>
        <w:rPr>
          <w:rFonts w:ascii="Calibri" w:hAnsi="Calibri"/>
          <w:color w:val="1E293B"/>
          <w:sz w:val="20"/>
        </w:rPr>
        <w:t>Edit the display label (e.g., change cogs_total to Cost of Goods Sold).</w:t>
      </w:r>
    </w:p>
    <w:p>
      <w:pPr>
        <w:pStyle w:val="ListBullet"/>
        <w:spacing w:before="20" w:after="40" w:line="276" w:lineRule="auto"/>
      </w:pPr>
      <w:r>
        <w:rPr>
          <w:rFonts w:ascii="Calibri" w:hAnsi="Calibri"/>
          <w:color w:val="1E293B"/>
          <w:sz w:val="20"/>
        </w:rPr>
        <w:t>Choose aggregation methods: SUM, AVG, MAX, MIN, COUNT.</w:t>
      </w:r>
    </w:p>
    <w:p>
      <w:pPr>
        <w:pStyle w:val="ListBullet"/>
        <w:spacing w:before="20" w:after="40" w:line="276" w:lineRule="auto"/>
      </w:pPr>
      <w:r>
        <w:rPr>
          <w:rFonts w:ascii="Calibri" w:hAnsi="Calibri"/>
          <w:color w:val="1E293B"/>
          <w:sz w:val="20"/>
        </w:rPr>
        <w:t>Assign explicit formatting: Currency ($), Percentage (%), or Integer Number.</w:t>
      </w:r>
    </w:p>
    <w:p>
      <w:pPr>
        <w:keepNext/>
        <w:spacing w:before="280" w:after="80"/>
      </w:pPr>
      <w:r>
        <w:rPr>
          <w:rFonts w:ascii="Calibri" w:hAnsi="Calibri"/>
          <w:b/>
          <w:color w:val="1E293B"/>
          <w:sz w:val="25"/>
        </w:rPr>
        <w:t>4.2 Period-Over-Period Delta &amp; Sparklines</w:t>
      </w:r>
    </w:p>
    <w:p>
      <w:pPr>
        <w:spacing w:before="40" w:after="120" w:line="288" w:lineRule="auto"/>
      </w:pPr>
      <w:r>
        <w:rPr>
          <w:rFonts w:ascii="Calibri" w:hAnsi="Calibri"/>
          <w:color w:val="334155"/>
          <w:sz w:val="20"/>
        </w:rPr>
        <w:t>Each KPI card displays:</w:t>
      </w:r>
    </w:p>
    <w:p>
      <w:pPr>
        <w:pStyle w:val="ListNumber"/>
        <w:spacing w:before="20" w:after="40" w:line="276" w:lineRule="auto"/>
      </w:pPr>
      <w:r>
        <w:rPr>
          <w:rFonts w:ascii="Calibri" w:hAnsi="Calibri"/>
          <w:color w:val="1E293B"/>
          <w:sz w:val="20"/>
        </w:rPr>
      </w:r>
      <w:r>
        <w:rPr>
          <w:rFonts w:ascii="Calibri" w:hAnsi="Calibri"/>
          <w:b/>
          <w:color w:val="1E293B"/>
          <w:sz w:val="20"/>
        </w:rPr>
        <w:t>Headline Value</w:t>
      </w:r>
      <w:r>
        <w:rPr>
          <w:rFonts w:ascii="Calibri" w:hAnsi="Calibri"/>
          <w:color w:val="1E293B"/>
          <w:sz w:val="20"/>
        </w:rPr>
        <w:t>: Formatted total with compact abbreviations ($14.2M, 840K, 68.5%).</w:t>
      </w:r>
    </w:p>
    <w:p>
      <w:pPr>
        <w:pStyle w:val="ListNumber"/>
        <w:spacing w:before="20" w:after="40" w:line="276" w:lineRule="auto"/>
      </w:pPr>
      <w:r>
        <w:rPr>
          <w:rFonts w:ascii="Calibri" w:hAnsi="Calibri"/>
          <w:color w:val="1E293B"/>
          <w:sz w:val="20"/>
        </w:rPr>
      </w:r>
      <w:r>
        <w:rPr>
          <w:rFonts w:ascii="Calibri" w:hAnsi="Calibri"/>
          <w:b/>
          <w:color w:val="1E293B"/>
          <w:sz w:val="20"/>
        </w:rPr>
        <w:t>Delta Indicator</w:t>
      </w:r>
      <w:r>
        <w:rPr>
          <w:rFonts w:ascii="Calibri" w:hAnsi="Calibri"/>
          <w:color w:val="1E293B"/>
          <w:sz w:val="20"/>
        </w:rPr>
        <w:t>: Period-over-period percentage difference with color-coded positive (green) or negative (rose) badges.</w:t>
      </w:r>
    </w:p>
    <w:p>
      <w:pPr>
        <w:pStyle w:val="ListNumber"/>
        <w:spacing w:before="20" w:after="40" w:line="276" w:lineRule="auto"/>
      </w:pPr>
      <w:r>
        <w:rPr>
          <w:rFonts w:ascii="Calibri" w:hAnsi="Calibri"/>
          <w:color w:val="1E293B"/>
          <w:sz w:val="20"/>
        </w:rPr>
      </w:r>
      <w:r>
        <w:rPr>
          <w:rFonts w:ascii="Calibri" w:hAnsi="Calibri"/>
          <w:b/>
          <w:color w:val="1E293B"/>
          <w:sz w:val="20"/>
        </w:rPr>
        <w:t>Miniature Sparkline</w:t>
      </w:r>
      <w:r>
        <w:rPr>
          <w:rFonts w:ascii="Calibri" w:hAnsi="Calibri"/>
          <w:color w:val="1E293B"/>
          <w:sz w:val="20"/>
        </w:rPr>
        <w:t>: 12-point trendline showing historical trajectory over time.</w:t>
      </w:r>
    </w:p>
    <w:p>
      <w:pPr>
        <w:pStyle w:val="ListBullet"/>
        <w:spacing w:before="20" w:after="40" w:line="276" w:lineRule="auto"/>
      </w:pPr>
      <w:r>
        <w:rPr>
          <w:rFonts w:ascii="Calibri" w:hAnsi="Calibri"/>
          <w:color w:val="1E293B"/>
          <w:sz w:val="20"/>
        </w:rPr>
      </w:r>
      <w:r>
        <w:rPr>
          <w:rFonts w:ascii="Calibri" w:hAnsi="Calibri"/>
          <w:b/>
          <w:color w:val="1E293B"/>
          <w:sz w:val="20"/>
        </w:rPr>
        <w:t>Behind the Scenes (Data Accuracy Fix)</w:t>
      </w:r>
      <w:r>
        <w:rPr>
          <w:rFonts w:ascii="Calibri" w:hAnsi="Calibri"/>
          <w:color w:val="1E293B"/>
          <w:sz w:val="20"/>
        </w:rPr>
        <w:t>:</w:t>
      </w:r>
    </w:p>
    <w:p>
      <w:pPr>
        <w:pStyle w:val="ListBullet"/>
        <w:spacing w:before="20" w:after="40" w:line="276" w:lineRule="auto"/>
      </w:pPr>
      <w:r>
        <w:rPr>
          <w:rFonts w:ascii="Calibri" w:hAnsi="Calibri"/>
          <w:color w:val="1E293B"/>
          <w:sz w:val="20"/>
        </w:rPr>
        <w:t>Dates are parsed as true timestamps (Date.parse()) rather than alphanumeric strings, guaranteeing that dates like 1/15/2024 are placed chronologically before 2/1/2024.</w:t>
      </w:r>
    </w:p>
    <w:p>
      <w:pPr>
        <w:pStyle w:val="ListBullet"/>
        <w:spacing w:before="20" w:after="40" w:line="276" w:lineRule="auto"/>
      </w:pPr>
      <w:r>
        <w:rPr>
          <w:rFonts w:ascii="Calibri" w:hAnsi="Calibri"/>
          <w:color w:val="1E293B"/>
          <w:sz w:val="20"/>
        </w:rPr>
        <w:t>The dataset is divided chronologically into historical baseline vs. recent periods.</w:t>
      </w:r>
    </w:p>
    <w:p>
      <w:pPr>
        <w:pStyle w:val="ListBullet"/>
        <w:spacing w:before="20" w:after="40" w:line="276" w:lineRule="auto"/>
      </w:pPr>
      <w:r>
        <w:rPr>
          <w:rFonts w:ascii="Calibri" w:hAnsi="Calibri"/>
          <w:color w:val="1E293B"/>
          <w:sz w:val="20"/>
        </w:rPr>
        <w:t>When a prior period baseline is zero, the delta is safely capped at $\pm 100\%$ rather than triggering an artificial division-by-one inflation (which previously caused inaccurate $+9900\%$ outputs).</w:t>
      </w:r>
    </w:p>
    <w:p>
      <w:pPr>
        <w:keepNext/>
        <w:spacing w:before="280" w:after="80"/>
      </w:pPr>
      <w:r>
        <w:rPr>
          <w:rFonts w:ascii="Calibri" w:hAnsi="Calibri"/>
          <w:b/>
          <w:color w:val="1E293B"/>
          <w:sz w:val="25"/>
        </w:rPr>
        <w:t>4.3 Interactive KPI Deep-Dive Visualizer</w:t>
      </w:r>
    </w:p>
    <w:p>
      <w:pPr>
        <w:spacing w:before="40" w:after="120" w:line="288" w:lineRule="auto"/>
      </w:pPr>
      <w:r>
        <w:rPr>
          <w:rFonts w:ascii="Calibri" w:hAnsi="Calibri"/>
          <w:color w:val="334155"/>
          <w:sz w:val="20"/>
        </w:rPr>
        <w:t xml:space="preserve">Clicking any KPI card opens the </w:t>
      </w:r>
      <w:r>
        <w:rPr>
          <w:rFonts w:ascii="Calibri" w:hAnsi="Calibri"/>
          <w:b/>
          <w:color w:val="334155"/>
          <w:sz w:val="20"/>
        </w:rPr>
        <w:t>KPI Detail Modal</w:t>
      </w:r>
      <w:r>
        <w:rPr>
          <w:rFonts w:ascii="Calibri" w:hAnsi="Calibri"/>
          <w:color w:val="334155"/>
          <w:sz w:val="20"/>
        </w:rPr>
        <w:t>:</w:t>
      </w:r>
    </w:p>
    <w:p>
      <w:pPr>
        <w:pStyle w:val="ListBullet"/>
        <w:spacing w:before="20" w:after="40" w:line="276" w:lineRule="auto"/>
      </w:pPr>
      <w:r>
        <w:rPr>
          <w:rFonts w:ascii="Calibri" w:hAnsi="Calibri"/>
          <w:color w:val="1E293B"/>
          <w:sz w:val="20"/>
        </w:rPr>
      </w:r>
      <w:r>
        <w:rPr>
          <w:rFonts w:ascii="Calibri" w:hAnsi="Calibri"/>
          <w:b/>
          <w:color w:val="1E293B"/>
          <w:sz w:val="20"/>
        </w:rPr>
        <w:t>Distribution Quantiles</w:t>
      </w:r>
      <w:r>
        <w:rPr>
          <w:rFonts w:ascii="Calibri" w:hAnsi="Calibri"/>
          <w:color w:val="1E293B"/>
          <w:sz w:val="20"/>
        </w:rPr>
        <w:t>: Shows Median, 25th percentile, 75th percentile, Min, and Max.</w:t>
      </w:r>
    </w:p>
    <w:p>
      <w:pPr>
        <w:pStyle w:val="ListBullet"/>
        <w:spacing w:before="20" w:after="40" w:line="276" w:lineRule="auto"/>
      </w:pPr>
      <w:r>
        <w:rPr>
          <w:rFonts w:ascii="Calibri" w:hAnsi="Calibri"/>
          <w:color w:val="1E293B"/>
          <w:sz w:val="20"/>
        </w:rPr>
      </w:r>
      <w:r>
        <w:rPr>
          <w:rFonts w:ascii="Calibri" w:hAnsi="Calibri"/>
          <w:b/>
          <w:color w:val="1E293B"/>
          <w:sz w:val="20"/>
        </w:rPr>
        <w:t>Rolling Velocity</w:t>
      </w:r>
      <w:r>
        <w:rPr>
          <w:rFonts w:ascii="Calibri" w:hAnsi="Calibri"/>
          <w:color w:val="1E293B"/>
          <w:sz w:val="20"/>
        </w:rPr>
        <w:t>: Moving average trendline smoothing out short-term fluctuations.</w:t>
      </w:r>
    </w:p>
    <w:p>
      <w:pPr>
        <w:pStyle w:val="ListBullet"/>
        <w:spacing w:before="20" w:after="40" w:line="276" w:lineRule="auto"/>
      </w:pPr>
      <w:r>
        <w:rPr>
          <w:rFonts w:ascii="Calibri" w:hAnsi="Calibri"/>
          <w:color w:val="1E293B"/>
          <w:sz w:val="20"/>
        </w:rPr>
      </w:r>
      <w:r>
        <w:rPr>
          <w:rFonts w:ascii="Calibri" w:hAnsi="Calibri"/>
          <w:b/>
          <w:color w:val="1E293B"/>
          <w:sz w:val="20"/>
        </w:rPr>
        <w:t>Top Contributors</w:t>
      </w:r>
      <w:r>
        <w:rPr>
          <w:rFonts w:ascii="Calibri" w:hAnsi="Calibri"/>
          <w:color w:val="1E293B"/>
          <w:sz w:val="20"/>
        </w:rPr>
        <w:t>: Breakdown of which categorical dimension drove the largest share of this KPI.</w:t>
      </w:r>
    </w:p>
    <w:p>
      <w:pPr>
        <w:pStyle w:val="ListBullet"/>
        <w:spacing w:before="20" w:after="40" w:line="276" w:lineRule="auto"/>
      </w:pPr>
      <w:r>
        <w:rPr>
          <w:rFonts w:ascii="Calibri" w:hAnsi="Calibri"/>
          <w:color w:val="1E293B"/>
          <w:sz w:val="20"/>
        </w:rPr>
      </w:r>
      <w:r>
        <w:rPr>
          <w:rFonts w:ascii="Calibri" w:hAnsi="Calibri"/>
          <w:b/>
          <w:color w:val="1E293B"/>
          <w:sz w:val="20"/>
        </w:rPr>
        <w:t>One-Click Pin to Dashboard</w:t>
      </w:r>
      <w:r>
        <w:rPr>
          <w:rFonts w:ascii="Calibri" w:hAnsi="Calibri"/>
          <w:color w:val="1E293B"/>
          <w:sz w:val="20"/>
        </w:rPr>
        <w:t>: Transform any deep-dive chart into a permanent widget card with a single click.</w:t>
      </w:r>
    </w:p>
    <w:p>
      <w:pPr>
        <w:keepNext/>
        <w:spacing w:before="360" w:after="120"/>
      </w:pPr>
      <w:r>
        <w:rPr>
          <w:rFonts w:ascii="Calibri" w:hAnsi="Calibri"/>
          <w:b/>
          <w:color w:val="0F172A"/>
          <w:sz w:val="32"/>
        </w:rPr>
        <w:t>5. Visual Analytics &amp; Chart Customization</w:t>
      </w:r>
    </w:p>
    <w:p>
      <w:pPr>
        <w:keepNext/>
        <w:spacing w:before="280" w:after="80"/>
      </w:pPr>
      <w:r>
        <w:rPr>
          <w:rFonts w:ascii="Calibri" w:hAnsi="Calibri"/>
          <w:b/>
          <w:color w:val="1E293B"/>
          <w:sz w:val="25"/>
        </w:rPr>
        <w:t>5.1 Supported Chart Types</w:t>
      </w:r>
    </w:p>
    <w:p>
      <w:pPr>
        <w:spacing w:before="40" w:after="120" w:line="288" w:lineRule="auto"/>
      </w:pPr>
      <w:r>
        <w:rPr>
          <w:rFonts w:ascii="Calibri" w:hAnsi="Calibri"/>
          <w:color w:val="334155"/>
          <w:sz w:val="20"/>
        </w:rPr>
        <w:t>OmniDash provides 10 specialized visualization engines powered by Chart.js 4.5:</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312"/>
        <w:gridCol w:w="3312"/>
        <w:gridCol w:w="3312"/>
      </w:tblGrid>
      <w:tr>
        <w:tc>
          <w:tcPr>
            <w:tcW w:type="dxa" w:w="3312"/>
            <w:shd w:fill="1E293B"/>
            <w:tcMar>
              <w:top w:w="80" w:type="dxa"/>
              <w:bottom w:w="80" w:type="dxa"/>
              <w:left w:w="100" w:type="dxa"/>
              <w:right w:w="100" w:type="dxa"/>
            </w:tcMar>
          </w:tcPr>
          <w:p>
            <w:r>
              <w:rPr>
                <w:rFonts w:ascii="Calibri" w:hAnsi="Calibri"/>
                <w:b/>
                <w:color w:val="FFFFFF"/>
                <w:sz w:val="19"/>
              </w:rPr>
              <w:t>Chart Type</w:t>
            </w:r>
          </w:p>
        </w:tc>
        <w:tc>
          <w:tcPr>
            <w:tcW w:type="dxa" w:w="3312"/>
            <w:shd w:fill="1E293B"/>
            <w:tcMar>
              <w:top w:w="80" w:type="dxa"/>
              <w:bottom w:w="80" w:type="dxa"/>
              <w:left w:w="100" w:type="dxa"/>
              <w:right w:w="100" w:type="dxa"/>
            </w:tcMar>
          </w:tcPr>
          <w:p>
            <w:r>
              <w:rPr>
                <w:rFonts w:ascii="Calibri" w:hAnsi="Calibri"/>
                <w:b/>
                <w:color w:val="FFFFFF"/>
                <w:sz w:val="19"/>
              </w:rPr>
              <w:t>Best Suited For</w:t>
            </w:r>
          </w:p>
        </w:tc>
        <w:tc>
          <w:tcPr>
            <w:tcW w:type="dxa" w:w="3312"/>
            <w:shd w:fill="1E293B"/>
            <w:tcMar>
              <w:top w:w="80" w:type="dxa"/>
              <w:bottom w:w="80" w:type="dxa"/>
              <w:left w:w="100" w:type="dxa"/>
              <w:right w:w="100" w:type="dxa"/>
            </w:tcMar>
          </w:tcPr>
          <w:p>
            <w:r>
              <w:rPr>
                <w:rFonts w:ascii="Calibri" w:hAnsi="Calibri"/>
                <w:b/>
                <w:color w:val="FFFFFF"/>
                <w:sz w:val="19"/>
              </w:rPr>
              <w:t>Custom Capabilities</w:t>
            </w:r>
          </w:p>
        </w:tc>
      </w:tr>
      <w:tr>
        <w:tc>
          <w:tcPr>
            <w:tcW w:type="dxa" w:w="3312"/>
            <w:shd w:fill="FFFFFF"/>
            <w:tcMar>
              <w:top w:w="60" w:type="dxa"/>
              <w:bottom w:w="60" w:type="dxa"/>
              <w:left w:w="100" w:type="dxa"/>
              <w:right w:w="100" w:type="dxa"/>
            </w:tcMar>
          </w:tcPr>
          <w:p>
            <w:r>
              <w:rPr>
                <w:rFonts w:ascii="Calibri" w:hAnsi="Calibri"/>
                <w:color w:val="1E293B"/>
                <w:sz w:val="18"/>
              </w:rPr>
              <w:t>Line Chart</w:t>
            </w:r>
          </w:p>
        </w:tc>
        <w:tc>
          <w:tcPr>
            <w:tcW w:type="dxa" w:w="3312"/>
            <w:shd w:fill="FFFFFF"/>
            <w:tcMar>
              <w:top w:w="60" w:type="dxa"/>
              <w:bottom w:w="60" w:type="dxa"/>
              <w:left w:w="100" w:type="dxa"/>
              <w:right w:w="100" w:type="dxa"/>
            </w:tcMar>
          </w:tcPr>
          <w:p>
            <w:r>
              <w:rPr>
                <w:rFonts w:ascii="Calibri" w:hAnsi="Calibri"/>
                <w:color w:val="1E293B"/>
                <w:sz w:val="18"/>
              </w:rPr>
              <w:t>Temporal trends, sales trajectory, forecasting</w:t>
            </w:r>
          </w:p>
        </w:tc>
        <w:tc>
          <w:tcPr>
            <w:tcW w:type="dxa" w:w="3312"/>
            <w:shd w:fill="FFFFFF"/>
            <w:tcMar>
              <w:top w:w="60" w:type="dxa"/>
              <w:bottom w:w="60" w:type="dxa"/>
              <w:left w:w="100" w:type="dxa"/>
              <w:right w:w="100" w:type="dxa"/>
            </w:tcMar>
          </w:tcPr>
          <w:p>
            <w:r>
              <w:rPr>
                <w:rFonts w:ascii="Calibri" w:hAnsi="Calibri"/>
                <w:color w:val="1E293B"/>
                <w:sz w:val="18"/>
              </w:rPr>
              <w:t>Smooth cubic splines, chronological axis, rolling averages</w:t>
            </w:r>
          </w:p>
        </w:tc>
      </w:tr>
      <w:tr>
        <w:tc>
          <w:tcPr>
            <w:tcW w:type="dxa" w:w="3312"/>
            <w:shd w:fill="F8FAFC"/>
            <w:tcMar>
              <w:top w:w="60" w:type="dxa"/>
              <w:bottom w:w="60" w:type="dxa"/>
              <w:left w:w="100" w:type="dxa"/>
              <w:right w:w="100" w:type="dxa"/>
            </w:tcMar>
          </w:tcPr>
          <w:p>
            <w:r>
              <w:rPr>
                <w:rFonts w:ascii="Calibri" w:hAnsi="Calibri"/>
                <w:color w:val="1E293B"/>
                <w:sz w:val="18"/>
              </w:rPr>
              <w:t>Bar Chart</w:t>
            </w:r>
          </w:p>
        </w:tc>
        <w:tc>
          <w:tcPr>
            <w:tcW w:type="dxa" w:w="3312"/>
            <w:shd w:fill="F8FAFC"/>
            <w:tcMar>
              <w:top w:w="60" w:type="dxa"/>
              <w:bottom w:w="60" w:type="dxa"/>
              <w:left w:w="100" w:type="dxa"/>
              <w:right w:w="100" w:type="dxa"/>
            </w:tcMar>
          </w:tcPr>
          <w:p>
            <w:r>
              <w:rPr>
                <w:rFonts w:ascii="Calibri" w:hAnsi="Calibri"/>
                <w:color w:val="1E293B"/>
                <w:sz w:val="18"/>
              </w:rPr>
              <w:t>Categorical comparisons (Region, Product, Rep)</w:t>
            </w:r>
          </w:p>
        </w:tc>
        <w:tc>
          <w:tcPr>
            <w:tcW w:type="dxa" w:w="3312"/>
            <w:shd w:fill="F8FAFC"/>
            <w:tcMar>
              <w:top w:w="60" w:type="dxa"/>
              <w:bottom w:w="60" w:type="dxa"/>
              <w:left w:w="100" w:type="dxa"/>
              <w:right w:w="100" w:type="dxa"/>
            </w:tcMar>
          </w:tcPr>
          <w:p>
            <w:r>
              <w:rPr>
                <w:rFonts w:ascii="Calibri" w:hAnsi="Calibri"/>
                <w:color w:val="1E293B"/>
                <w:sz w:val="18"/>
              </w:rPr>
              <w:t>Vertical or horizontal orientation, sorted by value or name</w:t>
            </w:r>
          </w:p>
        </w:tc>
      </w:tr>
      <w:tr>
        <w:tc>
          <w:tcPr>
            <w:tcW w:type="dxa" w:w="3312"/>
            <w:shd w:fill="FFFFFF"/>
            <w:tcMar>
              <w:top w:w="60" w:type="dxa"/>
              <w:bottom w:w="60" w:type="dxa"/>
              <w:left w:w="100" w:type="dxa"/>
              <w:right w:w="100" w:type="dxa"/>
            </w:tcMar>
          </w:tcPr>
          <w:p>
            <w:r>
              <w:rPr>
                <w:rFonts w:ascii="Calibri" w:hAnsi="Calibri"/>
                <w:color w:val="1E293B"/>
                <w:sz w:val="18"/>
              </w:rPr>
              <w:t>Stacked / Grouped Bar</w:t>
            </w:r>
          </w:p>
        </w:tc>
        <w:tc>
          <w:tcPr>
            <w:tcW w:type="dxa" w:w="3312"/>
            <w:shd w:fill="FFFFFF"/>
            <w:tcMar>
              <w:top w:w="60" w:type="dxa"/>
              <w:bottom w:w="60" w:type="dxa"/>
              <w:left w:w="100" w:type="dxa"/>
              <w:right w:w="100" w:type="dxa"/>
            </w:tcMar>
          </w:tcPr>
          <w:p>
            <w:r>
              <w:rPr>
                <w:rFonts w:ascii="Calibri" w:hAnsi="Calibri"/>
                <w:color w:val="1E293B"/>
                <w:sz w:val="18"/>
              </w:rPr>
              <w:t>Multi-dimensional breakdowns (Region by Quarter)</w:t>
            </w:r>
          </w:p>
        </w:tc>
        <w:tc>
          <w:tcPr>
            <w:tcW w:type="dxa" w:w="3312"/>
            <w:shd w:fill="FFFFFF"/>
            <w:tcMar>
              <w:top w:w="60" w:type="dxa"/>
              <w:bottom w:w="60" w:type="dxa"/>
              <w:left w:w="100" w:type="dxa"/>
              <w:right w:w="100" w:type="dxa"/>
            </w:tcMar>
          </w:tcPr>
          <w:p>
            <w:r>
              <w:rPr>
                <w:rFonts w:ascii="Calibri" w:hAnsi="Calibri"/>
                <w:color w:val="1E293B"/>
                <w:sz w:val="18"/>
              </w:rPr>
              <w:t>Secondary dimension grouping with automatic legend toggle</w:t>
            </w:r>
          </w:p>
        </w:tc>
      </w:tr>
      <w:tr>
        <w:tc>
          <w:tcPr>
            <w:tcW w:type="dxa" w:w="3312"/>
            <w:shd w:fill="F8FAFC"/>
            <w:tcMar>
              <w:top w:w="60" w:type="dxa"/>
              <w:bottom w:w="60" w:type="dxa"/>
              <w:left w:w="100" w:type="dxa"/>
              <w:right w:w="100" w:type="dxa"/>
            </w:tcMar>
          </w:tcPr>
          <w:p>
            <w:r>
              <w:rPr>
                <w:rFonts w:ascii="Calibri" w:hAnsi="Calibri"/>
                <w:color w:val="1E293B"/>
                <w:sz w:val="18"/>
              </w:rPr>
              <w:t>Donut / Ring</w:t>
            </w:r>
          </w:p>
        </w:tc>
        <w:tc>
          <w:tcPr>
            <w:tcW w:type="dxa" w:w="3312"/>
            <w:shd w:fill="F8FAFC"/>
            <w:tcMar>
              <w:top w:w="60" w:type="dxa"/>
              <w:bottom w:w="60" w:type="dxa"/>
              <w:left w:w="100" w:type="dxa"/>
              <w:right w:w="100" w:type="dxa"/>
            </w:tcMar>
          </w:tcPr>
          <w:p>
            <w:r>
              <w:rPr>
                <w:rFonts w:ascii="Calibri" w:hAnsi="Calibri"/>
                <w:color w:val="1E293B"/>
                <w:sz w:val="18"/>
              </w:rPr>
              <w:t>Proportionate share, portfolio allocation</w:t>
            </w:r>
          </w:p>
        </w:tc>
        <w:tc>
          <w:tcPr>
            <w:tcW w:type="dxa" w:w="3312"/>
            <w:shd w:fill="F8FAFC"/>
            <w:tcMar>
              <w:top w:w="60" w:type="dxa"/>
              <w:bottom w:w="60" w:type="dxa"/>
              <w:left w:w="100" w:type="dxa"/>
              <w:right w:w="100" w:type="dxa"/>
            </w:tcMar>
          </w:tcPr>
          <w:p>
            <w:r>
              <w:rPr>
                <w:rFonts w:ascii="Calibri" w:hAnsi="Calibri"/>
                <w:color w:val="1E293B"/>
                <w:sz w:val="18"/>
              </w:rPr>
              <w:t>Cutout radius, hover expansion, percentage tooltips</w:t>
            </w:r>
          </w:p>
        </w:tc>
      </w:tr>
      <w:tr>
        <w:tc>
          <w:tcPr>
            <w:tcW w:type="dxa" w:w="3312"/>
            <w:shd w:fill="FFFFFF"/>
            <w:tcMar>
              <w:top w:w="60" w:type="dxa"/>
              <w:bottom w:w="60" w:type="dxa"/>
              <w:left w:w="100" w:type="dxa"/>
              <w:right w:w="100" w:type="dxa"/>
            </w:tcMar>
          </w:tcPr>
          <w:p>
            <w:r>
              <w:rPr>
                <w:rFonts w:ascii="Calibri" w:hAnsi="Calibri"/>
                <w:color w:val="1E293B"/>
                <w:sz w:val="18"/>
              </w:rPr>
              <w:t>Area Chart</w:t>
            </w:r>
          </w:p>
        </w:tc>
        <w:tc>
          <w:tcPr>
            <w:tcW w:type="dxa" w:w="3312"/>
            <w:shd w:fill="FFFFFF"/>
            <w:tcMar>
              <w:top w:w="60" w:type="dxa"/>
              <w:bottom w:w="60" w:type="dxa"/>
              <w:left w:w="100" w:type="dxa"/>
              <w:right w:w="100" w:type="dxa"/>
            </w:tcMar>
          </w:tcPr>
          <w:p>
            <w:r>
              <w:rPr>
                <w:rFonts w:ascii="Calibri" w:hAnsi="Calibri"/>
                <w:color w:val="1E293B"/>
                <w:sz w:val="18"/>
              </w:rPr>
              <w:t>Cumulative volume, cash flow progression</w:t>
            </w:r>
          </w:p>
        </w:tc>
        <w:tc>
          <w:tcPr>
            <w:tcW w:type="dxa" w:w="3312"/>
            <w:shd w:fill="FFFFFF"/>
            <w:tcMar>
              <w:top w:w="60" w:type="dxa"/>
              <w:bottom w:w="60" w:type="dxa"/>
              <w:left w:w="100" w:type="dxa"/>
              <w:right w:w="100" w:type="dxa"/>
            </w:tcMar>
          </w:tcPr>
          <w:p>
            <w:r>
              <w:rPr>
                <w:rFonts w:ascii="Calibri" w:hAnsi="Calibri"/>
                <w:color w:val="1E293B"/>
                <w:sz w:val="18"/>
              </w:rPr>
              <w:t>Translucent gradient fills, boundary clipping</w:t>
            </w:r>
          </w:p>
        </w:tc>
      </w:tr>
      <w:tr>
        <w:tc>
          <w:tcPr>
            <w:tcW w:type="dxa" w:w="3312"/>
            <w:shd w:fill="F8FAFC"/>
            <w:tcMar>
              <w:top w:w="60" w:type="dxa"/>
              <w:bottom w:w="60" w:type="dxa"/>
              <w:left w:w="100" w:type="dxa"/>
              <w:right w:w="100" w:type="dxa"/>
            </w:tcMar>
          </w:tcPr>
          <w:p>
            <w:r>
              <w:rPr>
                <w:rFonts w:ascii="Calibri" w:hAnsi="Calibri"/>
                <w:color w:val="1E293B"/>
                <w:sz w:val="18"/>
              </w:rPr>
              <w:t>Radar Chart</w:t>
            </w:r>
          </w:p>
        </w:tc>
        <w:tc>
          <w:tcPr>
            <w:tcW w:type="dxa" w:w="3312"/>
            <w:shd w:fill="F8FAFC"/>
            <w:tcMar>
              <w:top w:w="60" w:type="dxa"/>
              <w:bottom w:w="60" w:type="dxa"/>
              <w:left w:w="100" w:type="dxa"/>
              <w:right w:w="100" w:type="dxa"/>
            </w:tcMar>
          </w:tcPr>
          <w:p>
            <w:r>
              <w:rPr>
                <w:rFonts w:ascii="Calibri" w:hAnsi="Calibri"/>
                <w:color w:val="1E293B"/>
                <w:sz w:val="18"/>
              </w:rPr>
              <w:t>Competitor benchmarking, multi-variable scorecards</w:t>
            </w:r>
          </w:p>
        </w:tc>
        <w:tc>
          <w:tcPr>
            <w:tcW w:type="dxa" w:w="3312"/>
            <w:shd w:fill="F8FAFC"/>
            <w:tcMar>
              <w:top w:w="60" w:type="dxa"/>
              <w:bottom w:w="60" w:type="dxa"/>
              <w:left w:w="100" w:type="dxa"/>
              <w:right w:w="100" w:type="dxa"/>
            </w:tcMar>
          </w:tcPr>
          <w:p>
            <w:r>
              <w:rPr>
                <w:rFonts w:ascii="Calibri" w:hAnsi="Calibri"/>
                <w:color w:val="1E293B"/>
                <w:sz w:val="18"/>
              </w:rPr>
              <w:t>Web grid with customizable accent polygons</w:t>
            </w:r>
          </w:p>
        </w:tc>
      </w:tr>
      <w:tr>
        <w:tc>
          <w:tcPr>
            <w:tcW w:type="dxa" w:w="3312"/>
            <w:shd w:fill="FFFFFF"/>
            <w:tcMar>
              <w:top w:w="60" w:type="dxa"/>
              <w:bottom w:w="60" w:type="dxa"/>
              <w:left w:w="100" w:type="dxa"/>
              <w:right w:w="100" w:type="dxa"/>
            </w:tcMar>
          </w:tcPr>
          <w:p>
            <w:r>
              <w:rPr>
                <w:rFonts w:ascii="Calibri" w:hAnsi="Calibri"/>
                <w:color w:val="1E293B"/>
                <w:sz w:val="18"/>
              </w:rPr>
              <w:t>Polar Area</w:t>
            </w:r>
          </w:p>
        </w:tc>
        <w:tc>
          <w:tcPr>
            <w:tcW w:type="dxa" w:w="3312"/>
            <w:shd w:fill="FFFFFF"/>
            <w:tcMar>
              <w:top w:w="60" w:type="dxa"/>
              <w:bottom w:w="60" w:type="dxa"/>
              <w:left w:w="100" w:type="dxa"/>
              <w:right w:w="100" w:type="dxa"/>
            </w:tcMar>
          </w:tcPr>
          <w:p>
            <w:r>
              <w:rPr>
                <w:rFonts w:ascii="Calibri" w:hAnsi="Calibri"/>
                <w:color w:val="1E293B"/>
                <w:sz w:val="18"/>
              </w:rPr>
              <w:t>Cyclical or seasonal magnitude comparisons</w:t>
            </w:r>
          </w:p>
        </w:tc>
        <w:tc>
          <w:tcPr>
            <w:tcW w:type="dxa" w:w="3312"/>
            <w:shd w:fill="FFFFFF"/>
            <w:tcMar>
              <w:top w:w="60" w:type="dxa"/>
              <w:bottom w:w="60" w:type="dxa"/>
              <w:left w:w="100" w:type="dxa"/>
              <w:right w:w="100" w:type="dxa"/>
            </w:tcMar>
          </w:tcPr>
          <w:p>
            <w:r>
              <w:rPr>
                <w:rFonts w:ascii="Calibri" w:hAnsi="Calibri"/>
                <w:color w:val="1E293B"/>
                <w:sz w:val="18"/>
              </w:rPr>
              <w:t>Radial angular segments with high-contrast borders</w:t>
            </w:r>
          </w:p>
        </w:tc>
      </w:tr>
      <w:tr>
        <w:tc>
          <w:tcPr>
            <w:tcW w:type="dxa" w:w="3312"/>
            <w:shd w:fill="F8FAFC"/>
            <w:tcMar>
              <w:top w:w="60" w:type="dxa"/>
              <w:bottom w:w="60" w:type="dxa"/>
              <w:left w:w="100" w:type="dxa"/>
              <w:right w:w="100" w:type="dxa"/>
            </w:tcMar>
          </w:tcPr>
          <w:p>
            <w:r>
              <w:rPr>
                <w:rFonts w:ascii="Calibri" w:hAnsi="Calibri"/>
                <w:color w:val="1E293B"/>
                <w:sz w:val="18"/>
              </w:rPr>
              <w:t>Waterfall Chart</w:t>
            </w:r>
          </w:p>
        </w:tc>
        <w:tc>
          <w:tcPr>
            <w:tcW w:type="dxa" w:w="3312"/>
            <w:shd w:fill="F8FAFC"/>
            <w:tcMar>
              <w:top w:w="60" w:type="dxa"/>
              <w:bottom w:w="60" w:type="dxa"/>
              <w:left w:w="100" w:type="dxa"/>
              <w:right w:w="100" w:type="dxa"/>
            </w:tcMar>
          </w:tcPr>
          <w:p>
            <w:r>
              <w:rPr>
                <w:rFonts w:ascii="Calibri" w:hAnsi="Calibri"/>
                <w:color w:val="1E293B"/>
                <w:sz w:val="18"/>
              </w:rPr>
              <w:t>Net profit walk, budget variance, EBITDA breakdown</w:t>
            </w:r>
          </w:p>
        </w:tc>
        <w:tc>
          <w:tcPr>
            <w:tcW w:type="dxa" w:w="3312"/>
            <w:shd w:fill="F8FAFC"/>
            <w:tcMar>
              <w:top w:w="60" w:type="dxa"/>
              <w:bottom w:w="60" w:type="dxa"/>
              <w:left w:w="100" w:type="dxa"/>
              <w:right w:w="100" w:type="dxa"/>
            </w:tcMar>
          </w:tcPr>
          <w:p>
            <w:r>
              <w:rPr>
                <w:rFonts w:ascii="Calibri" w:hAnsi="Calibri"/>
                <w:color w:val="1E293B"/>
                <w:sz w:val="18"/>
              </w:rPr>
              <w:t>Starting pillars, delta steps, automatic Net Total pillar</w:t>
            </w:r>
          </w:p>
        </w:tc>
      </w:tr>
      <w:tr>
        <w:tc>
          <w:tcPr>
            <w:tcW w:type="dxa" w:w="3312"/>
            <w:shd w:fill="FFFFFF"/>
            <w:tcMar>
              <w:top w:w="60" w:type="dxa"/>
              <w:bottom w:w="60" w:type="dxa"/>
              <w:left w:w="100" w:type="dxa"/>
              <w:right w:w="100" w:type="dxa"/>
            </w:tcMar>
          </w:tcPr>
          <w:p>
            <w:r>
              <w:rPr>
                <w:rFonts w:ascii="Calibri" w:hAnsi="Calibri"/>
                <w:color w:val="1E293B"/>
                <w:sz w:val="18"/>
              </w:rPr>
              <w:t>Gauge / Semi-Donut</w:t>
            </w:r>
          </w:p>
        </w:tc>
        <w:tc>
          <w:tcPr>
            <w:tcW w:type="dxa" w:w="3312"/>
            <w:shd w:fill="FFFFFF"/>
            <w:tcMar>
              <w:top w:w="60" w:type="dxa"/>
              <w:bottom w:w="60" w:type="dxa"/>
              <w:left w:w="100" w:type="dxa"/>
              <w:right w:w="100" w:type="dxa"/>
            </w:tcMar>
          </w:tcPr>
          <w:p>
            <w:r>
              <w:rPr>
                <w:rFonts w:ascii="Calibri" w:hAnsi="Calibri"/>
                <w:color w:val="1E293B"/>
                <w:sz w:val="18"/>
              </w:rPr>
              <w:t>Target attainment, SLA tracking, utilization %</w:t>
            </w:r>
          </w:p>
        </w:tc>
        <w:tc>
          <w:tcPr>
            <w:tcW w:type="dxa" w:w="3312"/>
            <w:shd w:fill="FFFFFF"/>
            <w:tcMar>
              <w:top w:w="60" w:type="dxa"/>
              <w:bottom w:w="60" w:type="dxa"/>
              <w:left w:w="100" w:type="dxa"/>
              <w:right w:w="100" w:type="dxa"/>
            </w:tcMar>
          </w:tcPr>
          <w:p>
            <w:r>
              <w:rPr>
                <w:rFonts w:ascii="Calibri" w:hAnsi="Calibri"/>
                <w:color w:val="1E293B"/>
                <w:sz w:val="18"/>
              </w:rPr>
              <w:t>Target indicators with color-coded performance bands</w:t>
            </w:r>
          </w:p>
        </w:tc>
      </w:tr>
      <w:tr>
        <w:tc>
          <w:tcPr>
            <w:tcW w:type="dxa" w:w="3312"/>
            <w:shd w:fill="F8FAFC"/>
            <w:tcMar>
              <w:top w:w="60" w:type="dxa"/>
              <w:bottom w:w="60" w:type="dxa"/>
              <w:left w:w="100" w:type="dxa"/>
              <w:right w:w="100" w:type="dxa"/>
            </w:tcMar>
          </w:tcPr>
          <w:p>
            <w:r>
              <w:rPr>
                <w:rFonts w:ascii="Calibri" w:hAnsi="Calibri"/>
                <w:color w:val="1E293B"/>
                <w:sz w:val="18"/>
              </w:rPr>
              <w:t>Pivot Table Matrix</w:t>
            </w:r>
          </w:p>
        </w:tc>
        <w:tc>
          <w:tcPr>
            <w:tcW w:type="dxa" w:w="3312"/>
            <w:shd w:fill="F8FAFC"/>
            <w:tcMar>
              <w:top w:w="60" w:type="dxa"/>
              <w:bottom w:w="60" w:type="dxa"/>
              <w:left w:w="100" w:type="dxa"/>
              <w:right w:w="100" w:type="dxa"/>
            </w:tcMar>
          </w:tcPr>
          <w:p>
            <w:r>
              <w:rPr>
                <w:rFonts w:ascii="Calibri" w:hAnsi="Calibri"/>
                <w:color w:val="1E293B"/>
                <w:sz w:val="18"/>
              </w:rPr>
              <w:t>Two-dimensional cross-tabulations (Dept x Year)</w:t>
            </w:r>
          </w:p>
        </w:tc>
        <w:tc>
          <w:tcPr>
            <w:tcW w:type="dxa" w:w="3312"/>
            <w:shd w:fill="F8FAFC"/>
            <w:tcMar>
              <w:top w:w="60" w:type="dxa"/>
              <w:bottom w:w="60" w:type="dxa"/>
              <w:left w:w="100" w:type="dxa"/>
              <w:right w:w="100" w:type="dxa"/>
            </w:tcMar>
          </w:tcPr>
          <w:p>
            <w:r>
              <w:rPr>
                <w:rFonts w:ascii="Calibri" w:hAnsi="Calibri"/>
                <w:color w:val="1E293B"/>
                <w:sz w:val="18"/>
              </w:rPr>
              <w:t>Heatmap cell shading, true row/col mathematical averages</w:t>
            </w:r>
          </w:p>
        </w:tc>
      </w:tr>
    </w:tbl>
    <w:p>
      <w:pPr>
        <w:spacing w:before="40" w:after="160"/>
      </w:pPr>
    </w:p>
    <w:p>
      <w:pPr>
        <w:keepNext/>
        <w:spacing w:before="280" w:after="80"/>
      </w:pPr>
      <w:r>
        <w:rPr>
          <w:rFonts w:ascii="Calibri" w:hAnsi="Calibri"/>
          <w:b/>
          <w:color w:val="1E293B"/>
          <w:sz w:val="25"/>
        </w:rPr>
        <w:t>5.2 Behind the Scenes: Statistical Calculation Engine</w:t>
      </w:r>
    </w:p>
    <w:p>
      <w:pPr>
        <w:keepNext/>
        <w:spacing w:before="200" w:after="60"/>
      </w:pPr>
      <w:r>
        <w:rPr>
          <w:rFonts w:ascii="Calibri" w:hAnsi="Calibri"/>
          <w:b/>
          <w:color w:val="2563EB"/>
          <w:sz w:val="22"/>
        </w:rPr>
        <w:t>**A. Grouped MEDIAN Aggregation**</w:t>
      </w:r>
    </w:p>
    <w:p>
      <w:pPr>
        <w:spacing w:before="40" w:after="120" w:line="288" w:lineRule="auto"/>
      </w:pPr>
      <w:r>
        <w:rPr>
          <w:rFonts w:ascii="Calibri" w:hAnsi="Calibri"/>
          <w:color w:val="334155"/>
          <w:sz w:val="20"/>
        </w:rPr>
        <w:t>When analyzing skewed data (such as compensation, deal sizes, or transaction amounts), AVG is often distorted by extreme outliers. OmniDash supports MEDIAN as a native aggregation.</w:t>
      </w:r>
    </w:p>
    <w:p>
      <w:pPr>
        <w:pStyle w:val="ListBullet"/>
        <w:spacing w:before="20" w:after="40" w:line="276" w:lineRule="auto"/>
      </w:pPr>
      <w:r>
        <w:rPr>
          <w:rFonts w:ascii="Calibri" w:hAnsi="Calibri"/>
          <w:color w:val="1E293B"/>
          <w:sz w:val="20"/>
        </w:rPr>
      </w:r>
      <w:r>
        <w:rPr>
          <w:rFonts w:ascii="Calibri" w:hAnsi="Calibri"/>
          <w:b/>
          <w:color w:val="1E293B"/>
          <w:sz w:val="20"/>
        </w:rPr>
        <w:t>Behind the Scenes</w:t>
      </w:r>
      <w:r>
        <w:rPr>
          <w:rFonts w:ascii="Calibri" w:hAnsi="Calibri"/>
          <w:color w:val="1E293B"/>
          <w:sz w:val="20"/>
        </w:rPr>
        <w:t>: For both single series and grouped multi-series charts, values in each dimensional bucket are collected into numerical arrays, sorted ascendingly, and computed via median midpoint selection ($O(N \log N)$), rather than falling back to row counts.</w:t>
      </w:r>
    </w:p>
    <w:p>
      <w:pPr>
        <w:keepNext/>
        <w:spacing w:before="200" w:after="60"/>
      </w:pPr>
      <w:r>
        <w:rPr>
          <w:rFonts w:ascii="Calibri" w:hAnsi="Calibri"/>
          <w:b/>
          <w:color w:val="2563EB"/>
          <w:sz w:val="22"/>
        </w:rPr>
        <w:t>**B. Waterfall Step Accumulation Logic**</w:t>
      </w:r>
    </w:p>
    <w:p>
      <w:pPr>
        <w:spacing w:before="40" w:after="120" w:line="288" w:lineRule="auto"/>
      </w:pPr>
      <w:r>
        <w:rPr>
          <w:rFonts w:ascii="Calibri" w:hAnsi="Calibri"/>
          <w:color w:val="334155"/>
          <w:sz w:val="20"/>
        </w:rPr>
        <w:t>Waterfall charts illustrate how an initial balance moves up and down across periods to reach a final total.</w:t>
      </w:r>
    </w:p>
    <w:p>
      <w:pPr>
        <w:pStyle w:val="ListBullet"/>
        <w:spacing w:before="20" w:after="40" w:line="276" w:lineRule="auto"/>
      </w:pPr>
      <w:r>
        <w:rPr>
          <w:rFonts w:ascii="Calibri" w:hAnsi="Calibri"/>
          <w:color w:val="1E293B"/>
          <w:sz w:val="20"/>
        </w:rPr>
      </w:r>
      <w:r>
        <w:rPr>
          <w:rFonts w:ascii="Calibri" w:hAnsi="Calibri"/>
          <w:b/>
          <w:color w:val="1E293B"/>
          <w:sz w:val="20"/>
        </w:rPr>
        <w:t>Behind the Scenes</w:t>
      </w:r>
      <w:r>
        <w:rPr>
          <w:rFonts w:ascii="Calibri" w:hAnsi="Calibri"/>
          <w:color w:val="1E293B"/>
          <w:sz w:val="20"/>
        </w:rPr>
        <w:t xml:space="preserve">: OmniDash tracks cumulative step deltas sequentially. Every intermediate period’s positive or negative shift is preserved in the running total. If the underlying data lacks a designated closing balance, an accurate </w:t>
      </w:r>
      <w:r>
        <w:rPr>
          <w:rFonts w:ascii="Calibri" w:hAnsi="Calibri"/>
          <w:b/>
          <w:color w:val="1E293B"/>
          <w:sz w:val="20"/>
        </w:rPr>
        <w:t>`Net Total`</w:t>
      </w:r>
      <w:r>
        <w:rPr>
          <w:rFonts w:ascii="Calibri" w:hAnsi="Calibri"/>
          <w:color w:val="1E293B"/>
          <w:sz w:val="20"/>
        </w:rPr>
        <w:t xml:space="preserve"> pillar is automatically calculated and cleanly rendered at the end of the waterfall walk.</w:t>
      </w:r>
    </w:p>
    <w:p>
      <w:pPr>
        <w:keepNext/>
        <w:spacing w:before="200" w:after="60"/>
      </w:pPr>
      <w:r>
        <w:rPr>
          <w:rFonts w:ascii="Calibri" w:hAnsi="Calibri"/>
          <w:b/>
          <w:color w:val="2563EB"/>
          <w:sz w:val="22"/>
        </w:rPr>
        <w:t>**C. Pivot Table Averages**</w:t>
      </w:r>
    </w:p>
    <w:p>
      <w:pPr>
        <w:spacing w:before="40" w:after="120" w:line="288" w:lineRule="auto"/>
      </w:pPr>
      <w:r>
        <w:rPr>
          <w:rFonts w:ascii="Calibri" w:hAnsi="Calibri"/>
          <w:color w:val="334155"/>
          <w:sz w:val="20"/>
        </w:rPr>
        <w:t>In cross-tabular matrices, a common software bug is taking the "average of averages" across table cells.</w:t>
      </w:r>
    </w:p>
    <w:p>
      <w:pPr>
        <w:pStyle w:val="ListBullet"/>
        <w:spacing w:before="20" w:after="40" w:line="276" w:lineRule="auto"/>
      </w:pPr>
      <w:r>
        <w:rPr>
          <w:rFonts w:ascii="Calibri" w:hAnsi="Calibri"/>
          <w:color w:val="1E293B"/>
          <w:sz w:val="20"/>
        </w:rPr>
      </w:r>
      <w:r>
        <w:rPr>
          <w:rFonts w:ascii="Calibri" w:hAnsi="Calibri"/>
          <w:b/>
          <w:color w:val="1E293B"/>
          <w:sz w:val="20"/>
        </w:rPr>
        <w:t>Behind the Scenes</w:t>
      </w:r>
      <w:r>
        <w:rPr>
          <w:rFonts w:ascii="Calibri" w:hAnsi="Calibri"/>
          <w:color w:val="1E293B"/>
          <w:sz w:val="20"/>
        </w:rPr>
        <w:t xml:space="preserve">: When AVG mode is selected in the OmniDash Pivot Table, the row totals, column totals, and grand total aggregate across the </w:t>
      </w:r>
      <w:r>
        <w:rPr>
          <w:rFonts w:ascii="Calibri" w:hAnsi="Calibri"/>
          <w:b/>
          <w:color w:val="1E293B"/>
          <w:sz w:val="20"/>
        </w:rPr>
        <w:t>raw underlying data points</w:t>
      </w:r>
      <w:r>
        <w:rPr>
          <w:rFonts w:ascii="Calibri" w:hAnsi="Calibri"/>
          <w:color w:val="1E293B"/>
          <w:sz w:val="20"/>
        </w:rPr>
        <w:t xml:space="preserve"> for that row or column, guaranteeing mathematically rigorous enterprise accounting.</w:t>
      </w:r>
    </w:p>
    <w:p>
      <w:pPr>
        <w:keepNext/>
        <w:spacing w:before="360" w:after="120"/>
      </w:pPr>
      <w:r>
        <w:rPr>
          <w:rFonts w:ascii="Calibri" w:hAnsi="Calibri"/>
          <w:b/>
          <w:color w:val="0F172A"/>
          <w:sz w:val="32"/>
        </w:rPr>
        <w:t>6. On-Device AI Business Analyst (WASM Engine)</w:t>
      </w:r>
    </w:p>
    <w:p>
      <w:pPr>
        <w:spacing w:before="40" w:after="120" w:line="288" w:lineRule="auto"/>
      </w:pPr>
      <w:r>
        <w:rPr>
          <w:rFonts w:ascii="Calibri" w:hAnsi="Calibri"/>
          <w:color w:val="334155"/>
          <w:sz w:val="20"/>
        </w:rPr>
        <w:t>OmniDash includes an on-device Artificial Intelligence assistant capable of answering natural language business questions, discovering anomalies, and summarizing strategic insights.</w:t>
      </w:r>
    </w:p>
    <w:p>
      <w:pPr>
        <w:keepNext/>
        <w:spacing w:before="280" w:after="80"/>
      </w:pPr>
      <w:r>
        <w:rPr>
          <w:rFonts w:ascii="Calibri" w:hAnsi="Calibri"/>
          <w:b/>
          <w:color w:val="1E293B"/>
          <w:sz w:val="25"/>
        </w:rPr>
        <w:t>6.1 Private, Zero-Cloud Inference</w:t>
      </w:r>
    </w:p>
    <w:p>
      <w:pPr>
        <w:pStyle w:val="ListBullet"/>
        <w:spacing w:before="20" w:after="40" w:line="276" w:lineRule="auto"/>
      </w:pPr>
      <w:r>
        <w:rPr>
          <w:rFonts w:ascii="Calibri" w:hAnsi="Calibri"/>
          <w:color w:val="1E293B"/>
          <w:sz w:val="20"/>
        </w:rPr>
      </w:r>
      <w:r>
        <w:rPr>
          <w:rFonts w:ascii="Calibri" w:hAnsi="Calibri"/>
          <w:b/>
          <w:color w:val="1E293B"/>
          <w:sz w:val="20"/>
        </w:rPr>
        <w:t>How it works</w:t>
      </w:r>
      <w:r>
        <w:rPr>
          <w:rFonts w:ascii="Calibri" w:hAnsi="Calibri"/>
          <w:color w:val="1E293B"/>
          <w:sz w:val="20"/>
        </w:rPr>
        <w:t>: Uses @wllama/wllama to run lightweight, highly quantized Large Language Models (in .gguf format) directly inside browser WebAssembly.</w:t>
      </w:r>
    </w:p>
    <w:p>
      <w:pPr>
        <w:pStyle w:val="ListBullet"/>
        <w:spacing w:before="20" w:after="40" w:line="276" w:lineRule="auto"/>
      </w:pPr>
      <w:r>
        <w:rPr>
          <w:rFonts w:ascii="Calibri" w:hAnsi="Calibri"/>
          <w:color w:val="1E293B"/>
          <w:sz w:val="20"/>
        </w:rPr>
      </w:r>
      <w:r>
        <w:rPr>
          <w:rFonts w:ascii="Calibri" w:hAnsi="Calibri"/>
          <w:b/>
          <w:color w:val="1E293B"/>
          <w:sz w:val="20"/>
        </w:rPr>
        <w:t>Why it matters</w:t>
      </w:r>
      <w:r>
        <w:rPr>
          <w:rFonts w:ascii="Calibri" w:hAnsi="Calibri"/>
          <w:color w:val="1E293B"/>
          <w:sz w:val="20"/>
        </w:rPr>
        <w:t xml:space="preserve">: Your company's sensitive financials, customer lists, and strategic records </w:t>
      </w:r>
      <w:r>
        <w:rPr>
          <w:rFonts w:ascii="Calibri" w:hAnsi="Calibri"/>
          <w:b/>
          <w:color w:val="1E293B"/>
          <w:sz w:val="20"/>
        </w:rPr>
        <w:t>never leave your personal machine</w:t>
      </w:r>
      <w:r>
        <w:rPr>
          <w:rFonts w:ascii="Calibri" w:hAnsi="Calibri"/>
          <w:color w:val="1E293B"/>
          <w:sz w:val="20"/>
        </w:rPr>
        <w:t>. There are no OpenAI API keys required, no monthly token bills, and no third-party data tracking.</w:t>
      </w:r>
    </w:p>
    <w:p>
      <w:pPr>
        <w:keepNext/>
        <w:spacing w:before="280" w:after="80"/>
      </w:pPr>
      <w:r>
        <w:rPr>
          <w:rFonts w:ascii="Calibri" w:hAnsi="Calibri"/>
          <w:b/>
          <w:color w:val="1E293B"/>
          <w:sz w:val="25"/>
        </w:rPr>
        <w:t>6.2 One-Click "Add Slide with AI Analysis"</w:t>
      </w:r>
    </w:p>
    <w:p>
      <w:pPr>
        <w:spacing w:before="40" w:after="120" w:line="288" w:lineRule="auto"/>
      </w:pPr>
      <w:r>
        <w:rPr>
          <w:rFonts w:ascii="Calibri" w:hAnsi="Calibri"/>
          <w:color w:val="334155"/>
          <w:sz w:val="20"/>
        </w:rPr>
        <w:t>When the AI Business Analyst provides an executive synthesis (e.g. highlighting margin leakage in European divisions or accelerating customer acquisition velocity):</w:t>
      </w:r>
    </w:p>
    <w:p>
      <w:pPr>
        <w:pStyle w:val="ListNumber"/>
        <w:spacing w:before="20" w:after="40" w:line="276" w:lineRule="auto"/>
      </w:pPr>
      <w:r>
        <w:rPr>
          <w:rFonts w:ascii="Calibri" w:hAnsi="Calibri"/>
          <w:color w:val="1E293B"/>
          <w:sz w:val="20"/>
        </w:rPr>
        <w:t xml:space="preserve">Click the </w:t>
      </w:r>
      <w:r>
        <w:rPr>
          <w:rFonts w:ascii="Calibri" w:hAnsi="Calibri"/>
          <w:b/>
          <w:color w:val="1E293B"/>
          <w:sz w:val="20"/>
        </w:rPr>
        <w:t>Add Slide with AI Analysis</w:t>
      </w:r>
      <w:r>
        <w:rPr>
          <w:rFonts w:ascii="Calibri" w:hAnsi="Calibri"/>
          <w:color w:val="1E293B"/>
          <w:sz w:val="20"/>
        </w:rPr>
        <w:t xml:space="preserve"> button below the message.</w:t>
      </w:r>
    </w:p>
    <w:p>
      <w:pPr>
        <w:pStyle w:val="ListNumber"/>
        <w:spacing w:before="20" w:after="40" w:line="276" w:lineRule="auto"/>
      </w:pPr>
      <w:r>
        <w:rPr>
          <w:rFonts w:ascii="Calibri" w:hAnsi="Calibri"/>
          <w:color w:val="1E293B"/>
          <w:sz w:val="20"/>
        </w:rPr>
        <w:t>OmniDash automatically parses the AI response into structured executive takeaways and bullet points.</w:t>
      </w:r>
    </w:p>
    <w:p>
      <w:pPr>
        <w:pStyle w:val="ListNumber"/>
        <w:spacing w:before="20" w:after="40" w:line="276" w:lineRule="auto"/>
      </w:pPr>
      <w:r>
        <w:rPr>
          <w:rFonts w:ascii="Calibri" w:hAnsi="Calibri"/>
          <w:color w:val="1E293B"/>
          <w:sz w:val="20"/>
        </w:rPr>
        <w:t xml:space="preserve">The </w:t>
      </w:r>
      <w:r>
        <w:rPr>
          <w:rFonts w:ascii="Calibri" w:hAnsi="Calibri"/>
          <w:b/>
          <w:color w:val="1E293B"/>
          <w:sz w:val="20"/>
        </w:rPr>
        <w:t>Presentation Studio</w:t>
      </w:r>
      <w:r>
        <w:rPr>
          <w:rFonts w:ascii="Calibri" w:hAnsi="Calibri"/>
          <w:color w:val="1E293B"/>
          <w:sz w:val="20"/>
        </w:rPr>
        <w:t xml:space="preserve"> opens immediately with a newly generated, boardroom-ready </w:t>
      </w:r>
      <w:r>
        <w:rPr>
          <w:rFonts w:ascii="Calibri" w:hAnsi="Calibri"/>
          <w:b/>
          <w:color w:val="1E293B"/>
          <w:sz w:val="20"/>
        </w:rPr>
        <w:t>AI Strategic Intelligence Findings</w:t>
      </w:r>
      <w:r>
        <w:rPr>
          <w:rFonts w:ascii="Calibri" w:hAnsi="Calibri"/>
          <w:color w:val="1E293B"/>
          <w:sz w:val="20"/>
        </w:rPr>
        <w:t xml:space="preserve"> slide appended to your deck.</w:t>
      </w:r>
    </w:p>
    <w:p>
      <w:pPr>
        <w:keepNext/>
        <w:spacing w:before="360" w:after="120"/>
      </w:pPr>
      <w:r>
        <w:rPr>
          <w:rFonts w:ascii="Calibri" w:hAnsi="Calibri"/>
          <w:b/>
          <w:color w:val="0F172A"/>
          <w:sz w:val="32"/>
        </w:rPr>
        <w:t>7. Corporate Brand Master Template Studio</w:t>
      </w:r>
    </w:p>
    <w:p>
      <w:pPr>
        <w:spacing w:before="40" w:after="120" w:line="288" w:lineRule="auto"/>
      </w:pPr>
      <w:r>
        <w:rPr>
          <w:rFonts w:ascii="Calibri" w:hAnsi="Calibri"/>
          <w:color w:val="334155"/>
          <w:sz w:val="20"/>
        </w:rPr>
        <w:t>Corporate presentations must adhere to strict brand guidelines (company colors, official logos, approved fonts, and slide layouts).</w:t>
      </w:r>
    </w:p>
    <w:p>
      <w:r>
        <w:drawing>
          <wp:inline xmlns:a="http://schemas.openxmlformats.org/drawingml/2006/main" xmlns:pic="http://schemas.openxmlformats.org/drawingml/2006/picture">
            <wp:extent cx="5852160" cy="3377739"/>
            <wp:docPr id="6" name="Picture 6"/>
            <wp:cNvGraphicFramePr>
              <a:graphicFrameLocks noChangeAspect="1"/>
            </wp:cNvGraphicFramePr>
            <a:graphic>
              <a:graphicData uri="http://schemas.openxmlformats.org/drawingml/2006/picture">
                <pic:pic>
                  <pic:nvPicPr>
                    <pic:cNvPr id="0" name="brand_master_template_modal.png"/>
                    <pic:cNvPicPr/>
                  </pic:nvPicPr>
                  <pic:blipFill>
                    <a:blip r:embed="rId16"/>
                    <a:stretch>
                      <a:fillRect/>
                    </a:stretch>
                  </pic:blipFill>
                  <pic:spPr>
                    <a:xfrm>
                      <a:off x="0" y="0"/>
                      <a:ext cx="5852160" cy="3377739"/>
                    </a:xfrm>
                    <a:prstGeom prst="rect"/>
                  </pic:spPr>
                </pic:pic>
              </a:graphicData>
            </a:graphic>
          </wp:inline>
        </w:drawing>
      </w:r>
    </w:p>
    <w:p>
      <w:pPr>
        <w:spacing w:before="60" w:after="240"/>
        <w:jc w:val="center"/>
      </w:pPr>
      <w:r>
        <w:rPr>
          <w:rFonts w:ascii="Calibri" w:hAnsi="Calibri"/>
          <w:i/>
          <w:color w:val="64748B"/>
          <w:sz w:val="17"/>
        </w:rPr>
        <w:t>Brand Master Template Studio</w:t>
      </w:r>
    </w:p>
    <w:p>
      <w:pPr>
        <w:keepNext/>
        <w:spacing w:before="280" w:after="80"/>
      </w:pPr>
      <w:r>
        <w:rPr>
          <w:rFonts w:ascii="Calibri" w:hAnsi="Calibri"/>
          <w:b/>
          <w:color w:val="1E293B"/>
          <w:sz w:val="25"/>
        </w:rPr>
        <w:t>7.1 Importing PowerPoint Brand Templates (`.pptx` / `.potx`)</w:t>
      </w:r>
    </w:p>
    <w:p>
      <w:pPr>
        <w:pStyle w:val="ListNumber"/>
        <w:spacing w:before="20" w:after="40" w:line="276" w:lineRule="auto"/>
      </w:pPr>
      <w:r>
        <w:rPr>
          <w:rFonts w:ascii="Calibri" w:hAnsi="Calibri"/>
          <w:color w:val="1E293B"/>
          <w:sz w:val="20"/>
        </w:rPr>
        <w:t xml:space="preserve">Click </w:t>
      </w:r>
      <w:r>
        <w:rPr>
          <w:rFonts w:ascii="Calibri" w:hAnsi="Calibri"/>
          <w:b/>
          <w:color w:val="1E293B"/>
          <w:sz w:val="20"/>
        </w:rPr>
        <w:t>Branding &amp; Templates</w:t>
      </w:r>
      <w:r>
        <w:rPr>
          <w:rFonts w:ascii="Calibri" w:hAnsi="Calibri"/>
          <w:color w:val="1E293B"/>
          <w:sz w:val="20"/>
        </w:rPr>
        <w:t xml:space="preserve"> in the navigation bar.</w:t>
      </w:r>
    </w:p>
    <w:p>
      <w:pPr>
        <w:pStyle w:val="ListNumber"/>
        <w:spacing w:before="20" w:after="40" w:line="276" w:lineRule="auto"/>
      </w:pPr>
      <w:r>
        <w:rPr>
          <w:rFonts w:ascii="Calibri" w:hAnsi="Calibri"/>
          <w:color w:val="1E293B"/>
          <w:sz w:val="20"/>
        </w:rPr>
        <w:t>Drag and drop your company’s official PowerPoint template file (.pptx or .potx) into the drop zone.</w:t>
      </w:r>
    </w:p>
    <w:p>
      <w:pPr>
        <w:pStyle w:val="ListNumber"/>
        <w:spacing w:before="20" w:after="40" w:line="276" w:lineRule="auto"/>
      </w:pPr>
      <w:r>
        <w:rPr>
          <w:rFonts w:ascii="Calibri" w:hAnsi="Calibri"/>
          <w:color w:val="1E293B"/>
          <w:sz w:val="20"/>
        </w:rPr>
        <w:t>OmniDash immediately parses the OpenXML package and extracts:</w:t>
      </w:r>
    </w:p>
    <w:p>
      <w:pPr>
        <w:pStyle w:val="ListBullet"/>
        <w:spacing w:before="20" w:after="40" w:line="276" w:lineRule="auto"/>
      </w:pPr>
      <w:r>
        <w:rPr>
          <w:rFonts w:ascii="Calibri" w:hAnsi="Calibri"/>
          <w:color w:val="1E293B"/>
          <w:sz w:val="20"/>
        </w:rPr>
      </w:r>
      <w:r>
        <w:rPr>
          <w:rFonts w:ascii="Calibri" w:hAnsi="Calibri"/>
          <w:b/>
          <w:color w:val="1E293B"/>
          <w:sz w:val="20"/>
        </w:rPr>
        <w:t>Corporate Color Palette</w:t>
      </w:r>
      <w:r>
        <w:rPr>
          <w:rFonts w:ascii="Calibri" w:hAnsi="Calibri"/>
          <w:color w:val="1E293B"/>
          <w:sz w:val="20"/>
        </w:rPr>
        <w:t>: Primary brand color, secondary accent, surface background, and contrast text.</w:t>
      </w:r>
    </w:p>
    <w:p>
      <w:pPr>
        <w:pStyle w:val="ListBullet"/>
        <w:spacing w:before="20" w:after="40" w:line="276" w:lineRule="auto"/>
      </w:pPr>
      <w:r>
        <w:rPr>
          <w:rFonts w:ascii="Calibri" w:hAnsi="Calibri"/>
          <w:color w:val="1E293B"/>
          <w:sz w:val="20"/>
        </w:rPr>
      </w:r>
      <w:r>
        <w:rPr>
          <w:rFonts w:ascii="Calibri" w:hAnsi="Calibri"/>
          <w:b/>
          <w:color w:val="1E293B"/>
          <w:sz w:val="20"/>
        </w:rPr>
        <w:t>Slide Canvas Background</w:t>
      </w:r>
      <w:r>
        <w:rPr>
          <w:rFonts w:ascii="Calibri" w:hAnsi="Calibri"/>
          <w:color w:val="1E293B"/>
          <w:sz w:val="20"/>
        </w:rPr>
        <w:t>: Dark mode or crisp white/light canvas theme.</w:t>
      </w:r>
    </w:p>
    <w:p>
      <w:pPr>
        <w:pStyle w:val="ListBullet"/>
        <w:spacing w:before="20" w:after="40" w:line="276" w:lineRule="auto"/>
      </w:pPr>
      <w:r>
        <w:rPr>
          <w:rFonts w:ascii="Calibri" w:hAnsi="Calibri"/>
          <w:color w:val="1E293B"/>
          <w:sz w:val="20"/>
        </w:rPr>
      </w:r>
      <w:r>
        <w:rPr>
          <w:rFonts w:ascii="Calibri" w:hAnsi="Calibri"/>
          <w:b/>
          <w:color w:val="1E293B"/>
          <w:sz w:val="20"/>
        </w:rPr>
        <w:t>Brand Typography</w:t>
      </w:r>
      <w:r>
        <w:rPr>
          <w:rFonts w:ascii="Calibri" w:hAnsi="Calibri"/>
          <w:color w:val="1E293B"/>
          <w:sz w:val="20"/>
        </w:rPr>
        <w:t>: Heading font (e.g., Montserrat, Segoe UI, Arial) and Body font.</w:t>
      </w:r>
    </w:p>
    <w:p>
      <w:pPr>
        <w:pStyle w:val="ListBullet"/>
        <w:spacing w:before="20" w:after="40" w:line="276" w:lineRule="auto"/>
      </w:pPr>
      <w:r>
        <w:rPr>
          <w:rFonts w:ascii="Calibri" w:hAnsi="Calibri"/>
          <w:color w:val="1E293B"/>
          <w:sz w:val="20"/>
        </w:rPr>
      </w:r>
      <w:r>
        <w:rPr>
          <w:rFonts w:ascii="Calibri" w:hAnsi="Calibri"/>
          <w:b/>
          <w:color w:val="1E293B"/>
          <w:sz w:val="20"/>
        </w:rPr>
        <w:t>Company Logo</w:t>
      </w:r>
      <w:r>
        <w:rPr>
          <w:rFonts w:ascii="Calibri" w:hAnsi="Calibri"/>
          <w:color w:val="1E293B"/>
          <w:sz w:val="20"/>
        </w:rPr>
        <w:t>: High-resolution vector or PNG emblem.</w:t>
      </w:r>
    </w:p>
    <w:p>
      <w:pPr>
        <w:pStyle w:val="ListBullet"/>
        <w:spacing w:before="20" w:after="40" w:line="276" w:lineRule="auto"/>
      </w:pPr>
      <w:r>
        <w:rPr>
          <w:rFonts w:ascii="Calibri" w:hAnsi="Calibri"/>
          <w:color w:val="1E293B"/>
          <w:sz w:val="20"/>
        </w:rPr>
      </w:r>
      <w:r>
        <w:rPr>
          <w:rFonts w:ascii="Calibri" w:hAnsi="Calibri"/>
          <w:b/>
          <w:color w:val="1E293B"/>
          <w:sz w:val="20"/>
        </w:rPr>
        <w:t>Legal Disclaimer</w:t>
      </w:r>
      <w:r>
        <w:rPr>
          <w:rFonts w:ascii="Calibri" w:hAnsi="Calibri"/>
          <w:color w:val="1E293B"/>
          <w:sz w:val="20"/>
        </w:rPr>
        <w:t>: Automatic footer confidentiality notice.</w:t>
      </w:r>
    </w:p>
    <w:p>
      <w:pPr>
        <w:keepNext/>
        <w:spacing w:before="280" w:after="80"/>
      </w:pPr>
      <w:r>
        <w:rPr>
          <w:rFonts w:ascii="Calibri" w:hAnsi="Calibri"/>
          <w:b/>
          <w:color w:val="1E293B"/>
          <w:sz w:val="25"/>
        </w:rPr>
        <w:t>7.2 Live Theme Reskinning</w:t>
      </w:r>
    </w:p>
    <w:p>
      <w:pPr>
        <w:spacing w:before="40" w:after="120" w:line="288" w:lineRule="auto"/>
      </w:pPr>
      <w:r>
        <w:rPr>
          <w:rFonts w:ascii="Calibri" w:hAnsi="Calibri"/>
          <w:color w:val="334155"/>
          <w:sz w:val="20"/>
        </w:rPr>
        <w:t xml:space="preserve">Once applied, the brand system automatically reskins both the </w:t>
      </w:r>
      <w:r>
        <w:rPr>
          <w:rFonts w:ascii="Calibri" w:hAnsi="Calibri"/>
          <w:b/>
          <w:color w:val="334155"/>
          <w:sz w:val="20"/>
        </w:rPr>
        <w:t>Live Interactive Dashboard</w:t>
      </w:r>
      <w:r>
        <w:rPr>
          <w:rFonts w:ascii="Calibri" w:hAnsi="Calibri"/>
          <w:color w:val="334155"/>
          <w:sz w:val="20"/>
        </w:rPr>
        <w:t xml:space="preserve"> and the </w:t>
      </w:r>
      <w:r>
        <w:rPr>
          <w:rFonts w:ascii="Calibri" w:hAnsi="Calibri"/>
          <w:b/>
          <w:color w:val="334155"/>
          <w:sz w:val="20"/>
        </w:rPr>
        <w:t>Presentation Studio</w:t>
      </w:r>
      <w:r>
        <w:rPr>
          <w:rFonts w:ascii="Calibri" w:hAnsi="Calibri"/>
          <w:color w:val="334155"/>
          <w:sz w:val="20"/>
        </w:rPr>
        <w:t>. Charts dynamically adopt the corporate accent palette, and widgets mirror the company's official visual identity.</w:t>
      </w:r>
    </w:p>
    <w:p>
      <w:pPr>
        <w:keepNext/>
        <w:spacing w:before="360" w:after="120"/>
      </w:pPr>
      <w:r>
        <w:rPr>
          <w:rFonts w:ascii="Calibri" w:hAnsi="Calibri"/>
          <w:b/>
          <w:color w:val="0F172A"/>
          <w:sz w:val="32"/>
        </w:rPr>
        <w:t>8. Presentation Studio &amp; Boardroom Export</w:t>
      </w:r>
    </w:p>
    <w:p>
      <w:r>
        <w:drawing>
          <wp:inline xmlns:a="http://schemas.openxmlformats.org/drawingml/2006/main" xmlns:pic="http://schemas.openxmlformats.org/drawingml/2006/picture">
            <wp:extent cx="5852160" cy="3377739"/>
            <wp:docPr id="7" name="Picture 7"/>
            <wp:cNvGraphicFramePr>
              <a:graphicFrameLocks noChangeAspect="1"/>
            </wp:cNvGraphicFramePr>
            <a:graphic>
              <a:graphicData uri="http://schemas.openxmlformats.org/drawingml/2006/picture">
                <pic:pic>
                  <pic:nvPicPr>
                    <pic:cNvPr id="0" name="presentation_studio_brand_master.png"/>
                    <pic:cNvPicPr/>
                  </pic:nvPicPr>
                  <pic:blipFill>
                    <a:blip r:embed="rId17"/>
                    <a:stretch>
                      <a:fillRect/>
                    </a:stretch>
                  </pic:blipFill>
                  <pic:spPr>
                    <a:xfrm>
                      <a:off x="0" y="0"/>
                      <a:ext cx="5852160" cy="3377739"/>
                    </a:xfrm>
                    <a:prstGeom prst="rect"/>
                  </pic:spPr>
                </pic:pic>
              </a:graphicData>
            </a:graphic>
          </wp:inline>
        </w:drawing>
      </w:r>
    </w:p>
    <w:p>
      <w:pPr>
        <w:spacing w:before="60" w:after="240"/>
        <w:jc w:val="center"/>
      </w:pPr>
      <w:r>
        <w:rPr>
          <w:rFonts w:ascii="Calibri" w:hAnsi="Calibri"/>
          <w:i/>
          <w:color w:val="64748B"/>
          <w:sz w:val="17"/>
        </w:rPr>
        <w:t>Presentation Studio Deck</w:t>
      </w:r>
    </w:p>
    <w:p>
      <w:pPr>
        <w:spacing w:before="40" w:after="120" w:line="288" w:lineRule="auto"/>
      </w:pPr>
      <w:r>
        <w:rPr>
          <w:rFonts w:ascii="Calibri" w:hAnsi="Calibri"/>
          <w:color w:val="334155"/>
          <w:sz w:val="20"/>
        </w:rPr>
        <w:t xml:space="preserve">The </w:t>
      </w:r>
      <w:r>
        <w:rPr>
          <w:rFonts w:ascii="Calibri" w:hAnsi="Calibri"/>
          <w:b/>
          <w:color w:val="334155"/>
          <w:sz w:val="20"/>
        </w:rPr>
        <w:t>Presentation Studio</w:t>
      </w:r>
      <w:r>
        <w:rPr>
          <w:rFonts w:ascii="Calibri" w:hAnsi="Calibri"/>
          <w:color w:val="334155"/>
          <w:sz w:val="20"/>
        </w:rPr>
        <w:t xml:space="preserve"> bridges the gap between interactive data exploration and high-stakes executive briefings. Instead of taking manual screenshots and pasting them into PowerPoint, OmniDash auto-generates a synchronized 16:9 widescreen presentation deck.</w:t>
      </w:r>
    </w:p>
    <w:p>
      <w:pPr>
        <w:keepNext/>
        <w:spacing w:before="280" w:after="80"/>
      </w:pPr>
      <w:r>
        <w:rPr>
          <w:rFonts w:ascii="Calibri" w:hAnsi="Calibri"/>
          <w:b/>
          <w:color w:val="1E293B"/>
          <w:sz w:val="25"/>
        </w:rPr>
        <w:t>8.1 Executive Slide Layouts</w:t>
      </w:r>
    </w:p>
    <w:p>
      <w:pPr>
        <w:pStyle w:val="ListNumber"/>
        <w:spacing w:before="20" w:after="40" w:line="276" w:lineRule="auto"/>
      </w:pPr>
      <w:r>
        <w:rPr>
          <w:rFonts w:ascii="Calibri" w:hAnsi="Calibri"/>
          <w:color w:val="1E293B"/>
          <w:sz w:val="20"/>
        </w:rPr>
      </w:r>
      <w:r>
        <w:rPr>
          <w:rFonts w:ascii="Calibri" w:hAnsi="Calibri"/>
          <w:b/>
          <w:color w:val="1E293B"/>
          <w:sz w:val="20"/>
        </w:rPr>
        <w:t>Title Slide</w:t>
      </w:r>
      <w:r>
        <w:rPr>
          <w:rFonts w:ascii="Calibri" w:hAnsi="Calibri"/>
          <w:color w:val="1E293B"/>
          <w:sz w:val="20"/>
        </w:rPr>
        <w:t>: Clean boardroom cover with company metadata, presenter credentials, report date, and corporate accent stripe.</w:t>
      </w:r>
    </w:p>
    <w:p>
      <w:pPr>
        <w:pStyle w:val="ListNumber"/>
        <w:spacing w:before="20" w:after="40" w:line="276" w:lineRule="auto"/>
      </w:pPr>
      <w:r>
        <w:rPr>
          <w:rFonts w:ascii="Calibri" w:hAnsi="Calibri"/>
          <w:color w:val="1E293B"/>
          <w:sz w:val="20"/>
        </w:rPr>
      </w:r>
      <w:r>
        <w:rPr>
          <w:rFonts w:ascii="Calibri" w:hAnsi="Calibri"/>
          <w:b/>
          <w:color w:val="1E293B"/>
          <w:sz w:val="20"/>
        </w:rPr>
        <w:t>KPI Spotlight Scorecard</w:t>
      </w:r>
      <w:r>
        <w:rPr>
          <w:rFonts w:ascii="Calibri" w:hAnsi="Calibri"/>
          <w:color w:val="1E293B"/>
          <w:sz w:val="20"/>
        </w:rPr>
        <w:t>: Four high-level metric cards paired with strategic narrative bullet points.</w:t>
      </w:r>
    </w:p>
    <w:p>
      <w:pPr>
        <w:pStyle w:val="ListNumber"/>
        <w:spacing w:before="20" w:after="40" w:line="276" w:lineRule="auto"/>
      </w:pPr>
      <w:r>
        <w:rPr>
          <w:rFonts w:ascii="Calibri" w:hAnsi="Calibri"/>
          <w:color w:val="1E293B"/>
          <w:sz w:val="20"/>
        </w:rPr>
      </w:r>
      <w:r>
        <w:rPr>
          <w:rFonts w:ascii="Calibri" w:hAnsi="Calibri"/>
          <w:b/>
          <w:color w:val="1E293B"/>
          <w:sz w:val="20"/>
        </w:rPr>
        <w:t>Split Visual + Insights</w:t>
      </w:r>
      <w:r>
        <w:rPr>
          <w:rFonts w:ascii="Calibri" w:hAnsi="Calibri"/>
          <w:color w:val="1E293B"/>
          <w:sz w:val="20"/>
        </w:rPr>
        <w:t>: 60% live chart embed on the left; 40% glassmorphic executive takeaway findings on the right.</w:t>
      </w:r>
    </w:p>
    <w:p>
      <w:pPr>
        <w:pStyle w:val="ListNumber"/>
        <w:spacing w:before="20" w:after="40" w:line="276" w:lineRule="auto"/>
      </w:pPr>
      <w:r>
        <w:rPr>
          <w:rFonts w:ascii="Calibri" w:hAnsi="Calibri"/>
          <w:color w:val="1E293B"/>
          <w:sz w:val="20"/>
        </w:rPr>
      </w:r>
      <w:r>
        <w:rPr>
          <w:rFonts w:ascii="Calibri" w:hAnsi="Calibri"/>
          <w:b/>
          <w:color w:val="1E293B"/>
          <w:sz w:val="20"/>
        </w:rPr>
        <w:t>Full Chart Visualizer</w:t>
      </w:r>
      <w:r>
        <w:rPr>
          <w:rFonts w:ascii="Calibri" w:hAnsi="Calibri"/>
          <w:color w:val="1E293B"/>
          <w:sz w:val="20"/>
        </w:rPr>
        <w:t>: Edge-to-edge chart display for detailed trajectory and cohort analysis.</w:t>
      </w:r>
    </w:p>
    <w:p>
      <w:pPr>
        <w:pStyle w:val="ListNumber"/>
        <w:spacing w:before="20" w:after="40" w:line="276" w:lineRule="auto"/>
      </w:pPr>
      <w:r>
        <w:rPr>
          <w:rFonts w:ascii="Calibri" w:hAnsi="Calibri"/>
          <w:color w:val="1E293B"/>
          <w:sz w:val="20"/>
        </w:rPr>
      </w:r>
      <w:r>
        <w:rPr>
          <w:rFonts w:ascii="Calibri" w:hAnsi="Calibri"/>
          <w:b/>
          <w:color w:val="1E293B"/>
          <w:sz w:val="20"/>
        </w:rPr>
        <w:t>Strategic Conclusions</w:t>
      </w:r>
      <w:r>
        <w:rPr>
          <w:rFonts w:ascii="Calibri" w:hAnsi="Calibri"/>
          <w:color w:val="1E293B"/>
          <w:sz w:val="20"/>
        </w:rPr>
        <w:t>: Numbered action directives, board recommendations, and next-quarter initiatives.</w:t>
      </w:r>
    </w:p>
    <w:p>
      <w:pPr>
        <w:keepNext/>
        <w:spacing w:before="280" w:after="80"/>
      </w:pPr>
      <w:r>
        <w:rPr>
          <w:rFonts w:ascii="Calibri" w:hAnsi="Calibri"/>
          <w:b/>
          <w:color w:val="1E293B"/>
          <w:sz w:val="25"/>
        </w:rPr>
        <w:t>8.2 Presenter Mode &amp; Live Synchronization</w:t>
      </w:r>
    </w:p>
    <w:p>
      <w:pPr>
        <w:pStyle w:val="ListBullet"/>
        <w:spacing w:before="20" w:after="40" w:line="276" w:lineRule="auto"/>
      </w:pPr>
      <w:r>
        <w:rPr>
          <w:rFonts w:ascii="Calibri" w:hAnsi="Calibri"/>
          <w:color w:val="1E293B"/>
          <w:sz w:val="20"/>
        </w:rPr>
      </w:r>
      <w:r>
        <w:rPr>
          <w:rFonts w:ascii="Calibri" w:hAnsi="Calibri"/>
          <w:b/>
          <w:color w:val="1E293B"/>
          <w:sz w:val="20"/>
        </w:rPr>
        <w:t>Fullscreen Projection</w:t>
      </w:r>
      <w:r>
        <w:rPr>
          <w:rFonts w:ascii="Calibri" w:hAnsi="Calibri"/>
          <w:color w:val="1E293B"/>
          <w:sz w:val="20"/>
        </w:rPr>
        <w:t xml:space="preserve">: Click </w:t>
      </w:r>
      <w:r>
        <w:rPr>
          <w:rFonts w:ascii="Calibri" w:hAnsi="Calibri"/>
          <w:b/>
          <w:color w:val="1E293B"/>
          <w:sz w:val="20"/>
        </w:rPr>
        <w:t>Present</w:t>
      </w:r>
      <w:r>
        <w:rPr>
          <w:rFonts w:ascii="Calibri" w:hAnsi="Calibri"/>
          <w:color w:val="1E293B"/>
          <w:sz w:val="20"/>
        </w:rPr>
        <w:t xml:space="preserve"> to project the deck in distraction-free 16:9 fullscreen.</w:t>
      </w:r>
    </w:p>
    <w:p>
      <w:pPr>
        <w:pStyle w:val="ListBullet"/>
        <w:spacing w:before="20" w:after="40" w:line="276" w:lineRule="auto"/>
      </w:pPr>
      <w:r>
        <w:rPr>
          <w:rFonts w:ascii="Calibri" w:hAnsi="Calibri"/>
          <w:color w:val="1E293B"/>
          <w:sz w:val="20"/>
        </w:rPr>
      </w:r>
      <w:r>
        <w:rPr>
          <w:rFonts w:ascii="Calibri" w:hAnsi="Calibri"/>
          <w:b/>
          <w:color w:val="1E293B"/>
          <w:sz w:val="20"/>
        </w:rPr>
        <w:t>Private Speaker Talking Notes</w:t>
      </w:r>
      <w:r>
        <w:rPr>
          <w:rFonts w:ascii="Calibri" w:hAnsi="Calibri"/>
          <w:color w:val="1E293B"/>
          <w:sz w:val="20"/>
        </w:rPr>
        <w:t>: Access personal speaker talking points with keyboard shortcuts (Arrow keys, Spacebar, ESC).</w:t>
      </w:r>
    </w:p>
    <w:p>
      <w:pPr>
        <w:pStyle w:val="ListBullet"/>
        <w:spacing w:before="20" w:after="40" w:line="276" w:lineRule="auto"/>
      </w:pPr>
      <w:r>
        <w:rPr>
          <w:rFonts w:ascii="Calibri" w:hAnsi="Calibri"/>
          <w:color w:val="1E293B"/>
          <w:sz w:val="20"/>
        </w:rPr>
      </w:r>
      <w:r>
        <w:rPr>
          <w:rFonts w:ascii="Calibri" w:hAnsi="Calibri"/>
          <w:b/>
          <w:color w:val="1E293B"/>
          <w:sz w:val="20"/>
        </w:rPr>
        <w:t>"Sync Live" Button</w:t>
      </w:r>
      <w:r>
        <w:rPr>
          <w:rFonts w:ascii="Calibri" w:hAnsi="Calibri"/>
          <w:color w:val="1E293B"/>
          <w:sz w:val="20"/>
        </w:rPr>
        <w:t xml:space="preserve">: Updated your dashboard filters or loaded new monthly numbers? Click </w:t>
      </w:r>
      <w:r>
        <w:rPr>
          <w:rFonts w:ascii="Calibri" w:hAnsi="Calibri"/>
          <w:b/>
          <w:color w:val="1E293B"/>
          <w:sz w:val="20"/>
        </w:rPr>
        <w:t>Sync Live</w:t>
      </w:r>
      <w:r>
        <w:rPr>
          <w:rFonts w:ascii="Calibri" w:hAnsi="Calibri"/>
          <w:color w:val="1E293B"/>
          <w:sz w:val="20"/>
        </w:rPr>
        <w:t xml:space="preserve"> in the slide list header to instantly refresh the presentation deck with current metrics without rebuilding slides from scratch.</w:t>
      </w:r>
    </w:p>
    <w:p>
      <w:pPr>
        <w:keepNext/>
        <w:spacing w:before="280" w:after="80"/>
      </w:pPr>
      <w:r>
        <w:rPr>
          <w:rFonts w:ascii="Calibri" w:hAnsi="Calibri"/>
          <w:b/>
          <w:color w:val="1E293B"/>
          <w:sz w:val="25"/>
        </w:rPr>
        <w:t>8.3 High-Fidelity Boardroom Exports</w:t>
      </w:r>
    </w:p>
    <w:tbl>
      <w:tblPr>
        <w:tblW w:type="auto" w:w="0"/>
        <w:jc w:val="center"/>
        <w:tblLook w:firstColumn="1" w:firstRow="1" w:lastColumn="0" w:lastRow="0" w:noHBand="0" w:noVBand="1" w:val="04A0"/>
      </w:tblPr>
      <w:tblGrid>
        <w:gridCol w:w="9360"/>
      </w:tblGrid>
      <w:tr>
        <w:tc>
          <w:tcPr>
            <w:tcW w:type="dxa" w:w="9936"/>
            <w:shd w:fill="0F172A"/>
            <w:tcMar>
              <w:top w:w="100" w:type="dxa"/>
              <w:bottom w:w="100" w:type="dxa"/>
              <w:left w:w="140" w:type="dxa"/>
              <w:right w:w="140" w:type="dxa"/>
            </w:tcMar>
          </w:tcPr>
          <w:p>
            <w:r>
              <w:rPr>
                <w:rFonts w:ascii="Consolas" w:hAnsi="Consolas"/>
                <w:color w:val="E2E8F0"/>
                <w:sz w:val="17"/>
              </w:rPr>
              <w:t>Export Capabilities:</w:t>
              <w:br/>
              <w:t>├── PowerPoint (.pptx)        -&gt; Real OpenXML shapes, editable text, brand palettes, embedded charts</w:t>
              <w:br/>
              <w:t>├── Multi-Page PDF Deck       -&gt; Complete 16:9 slide presentation compiled across all deck slides</w:t>
              <w:br/>
              <w:t>├── Excel Workbook (.xlsx)    -&gt; Raw records formatted as structured Excel table</w:t>
              <w:br/>
              <w:t>├── CSV Dataset (.csv)        -&gt; Plain-text delimited data for external ETL</w:t>
              <w:br/>
              <w:t>├── High-Res Chart PNG        -&gt; 2x retina snapshot of any individual card</w:t>
              <w:br/>
              <w:t>└── All-Charts ZIP Archive    -&gt; Packaged ZIP containing high-resolution PNGs of all active charts</w:t>
            </w:r>
          </w:p>
        </w:tc>
      </w:tr>
    </w:tbl>
    <w:p>
      <w:pPr>
        <w:spacing w:before="40" w:after="120"/>
      </w:pPr>
    </w:p>
    <w:p>
      <w:pPr>
        <w:pStyle w:val="ListBullet"/>
        <w:spacing w:before="20" w:after="40" w:line="276" w:lineRule="auto"/>
      </w:pPr>
      <w:r>
        <w:rPr>
          <w:rFonts w:ascii="Calibri" w:hAnsi="Calibri"/>
          <w:color w:val="1E293B"/>
          <w:sz w:val="20"/>
        </w:rPr>
      </w:r>
      <w:r>
        <w:rPr>
          <w:rFonts w:ascii="Calibri" w:hAnsi="Calibri"/>
          <w:b/>
          <w:color w:val="1E293B"/>
          <w:sz w:val="20"/>
        </w:rPr>
        <w:t>Behind the Scenes (Isolated Image Capture)</w:t>
      </w:r>
      <w:r>
        <w:rPr>
          <w:rFonts w:ascii="Calibri" w:hAnsi="Calibri"/>
          <w:color w:val="1E293B"/>
          <w:sz w:val="20"/>
        </w:rPr>
        <w:t>:</w:t>
      </w:r>
    </w:p>
    <w:p>
      <w:pPr>
        <w:pStyle w:val="ListBullet"/>
        <w:spacing w:before="20" w:after="40" w:line="276" w:lineRule="auto"/>
      </w:pPr>
      <w:r>
        <w:rPr>
          <w:rFonts w:ascii="Calibri" w:hAnsi="Calibri"/>
          <w:color w:val="1E293B"/>
          <w:sz w:val="20"/>
        </w:rPr>
        <w:t>Previous presentation tools often captured charts with unwanted UI buttons (drag handles, menus) or failed when viewing other tabs.</w:t>
      </w:r>
    </w:p>
    <w:p>
      <w:pPr>
        <w:pStyle w:val="ListBullet"/>
        <w:spacing w:before="20" w:after="40" w:line="276" w:lineRule="auto"/>
      </w:pPr>
      <w:r>
        <w:rPr>
          <w:rFonts w:ascii="Calibri" w:hAnsi="Calibri"/>
          <w:color w:val="1E293B"/>
          <w:sz w:val="20"/>
        </w:rPr>
        <w:t xml:space="preserve">OmniDash features a dedicated </w:t>
      </w:r>
      <w:r>
        <w:rPr>
          <w:rFonts w:ascii="Calibri" w:hAnsi="Calibri"/>
          <w:b/>
          <w:color w:val="1E293B"/>
          <w:sz w:val="20"/>
        </w:rPr>
        <w:t>off-screen visual capture container</w:t>
      </w:r>
      <w:r>
        <w:rPr>
          <w:rFonts w:ascii="Calibri" w:hAnsi="Calibri"/>
          <w:color w:val="1E293B"/>
          <w:sz w:val="20"/>
        </w:rPr>
        <w:t>. Charts rendered for PowerPoint export use the exact corporate brand palette and canvas theme, completely isolated from dashboard controls, guaranteeing flawless slides regardless of the currently active tab.</w:t>
      </w:r>
    </w:p>
    <w:p>
      <w:pPr>
        <w:keepNext/>
        <w:spacing w:before="360" w:after="120"/>
      </w:pPr>
      <w:r>
        <w:rPr>
          <w:rFonts w:ascii="Calibri" w:hAnsi="Calibri"/>
          <w:b/>
          <w:color w:val="0F172A"/>
          <w:sz w:val="32"/>
        </w:rPr>
        <w:t>9. Local Drive Sync (Google Drive / OneDrive) &amp; Workspace Hub</w:t>
      </w:r>
    </w:p>
    <w:p>
      <w:pPr>
        <w:spacing w:before="40" w:after="120" w:line="288" w:lineRule="auto"/>
      </w:pPr>
      <w:r>
        <w:rPr>
          <w:rFonts w:ascii="Calibri" w:hAnsi="Calibri"/>
          <w:color w:val="334155"/>
          <w:sz w:val="20"/>
        </w:rPr>
        <w:t xml:space="preserve">OmniDash features native local cloud drive synchronization and one-click workspace packaging. This allows you to bind the application directly to your local </w:t>
      </w:r>
      <w:r>
        <w:rPr>
          <w:rFonts w:ascii="Calibri" w:hAnsi="Calibri"/>
          <w:b/>
          <w:color w:val="334155"/>
          <w:sz w:val="20"/>
        </w:rPr>
        <w:t>Google Drive</w:t>
      </w:r>
      <w:r>
        <w:rPr>
          <w:rFonts w:ascii="Calibri" w:hAnsi="Calibri"/>
          <w:color w:val="334155"/>
          <w:sz w:val="20"/>
        </w:rPr>
        <w:t xml:space="preserve"> (G:\My Drive or C:\Users\...\Google Drive) or </w:t>
      </w:r>
      <w:r>
        <w:rPr>
          <w:rFonts w:ascii="Calibri" w:hAnsi="Calibri"/>
          <w:b/>
          <w:color w:val="334155"/>
          <w:sz w:val="20"/>
        </w:rPr>
        <w:t>Microsoft OneDrive</w:t>
      </w:r>
      <w:r>
        <w:rPr>
          <w:rFonts w:ascii="Calibri" w:hAnsi="Calibri"/>
          <w:color w:val="334155"/>
          <w:sz w:val="20"/>
        </w:rPr>
        <w:t xml:space="preserve"> (C:\Users\...\OneDrive) folder without configuring API credentials or hosting servers.</w:t>
      </w:r>
    </w:p>
    <w:tbl>
      <w:tblPr>
        <w:tblW w:type="auto" w:w="0"/>
        <w:jc w:val="center"/>
        <w:tblLook w:firstColumn="1" w:firstRow="1" w:lastColumn="0" w:lastRow="0" w:noHBand="0" w:noVBand="1" w:val="04A0"/>
      </w:tblPr>
      <w:tblGrid>
        <w:gridCol w:w="9360"/>
      </w:tblGrid>
      <w:tr>
        <w:tc>
          <w:tcPr>
            <w:tcW w:type="dxa" w:w="9936"/>
            <w:shd w:fill="0F172A"/>
            <w:tcMar>
              <w:top w:w="100" w:type="dxa"/>
              <w:bottom w:w="100" w:type="dxa"/>
              <w:left w:w="140" w:type="dxa"/>
              <w:right w:w="140" w:type="dxa"/>
            </w:tcMar>
          </w:tcPr>
          <w:p>
            <w:r>
              <w:rPr>
                <w:rFonts w:ascii="Consolas" w:hAnsi="Consolas"/>
                <w:color w:val="E2E8F0"/>
                <w:sz w:val="17"/>
              </w:rPr>
              <w:t>┌────────────────────────────────────────────────────────────────────────┐</w:t>
              <w:br/>
              <w:t>│                          OmniDash Drive Hub                            │</w:t>
              <w:br/>
              <w:t>├───────────────────────┬────────────────────────┬───────────────────────┤</w:t>
              <w:br/>
              <w:t>│    Files on Drive     │   Export to Drive      │   Restore Workspace   │</w:t>
              <w:br/>
              <w:t>│                       │                        │                       │</w:t>
              <w:br/>
              <w:t>│ • Sales_2024.xlsx     │ [Save Snapshot .omnidash]  Drag-and-drop       │</w:t>
              <w:br/>
              <w:t>│ • Q3_Review.omnidash  │ [Save Filtered Excel]  │   .omnidash package   │</w:t>
              <w:br/>
              <w:t>│ • Deck_Export.pptx    │ [Save Deck .pptx]      │   for instant restore │</w:t>
              <w:br/>
              <w:t>└───────────────────────┴────────────────────────┴───────────────────────┘</w:t>
            </w:r>
          </w:p>
        </w:tc>
      </w:tr>
    </w:tbl>
    <w:p>
      <w:pPr>
        <w:spacing w:before="40" w:after="120"/>
      </w:pPr>
    </w:p>
    <w:p>
      <w:pPr>
        <w:keepNext/>
        <w:spacing w:before="280" w:after="80"/>
      </w:pPr>
      <w:r>
        <w:rPr>
          <w:rFonts w:ascii="Calibri" w:hAnsi="Calibri"/>
          <w:b/>
          <w:color w:val="1E293B"/>
          <w:sz w:val="25"/>
        </w:rPr>
        <w:t>9.1 How It Works (Behind the Scenes)</w:t>
      </w:r>
    </w:p>
    <w:p>
      <w:pPr>
        <w:pStyle w:val="ListNumber"/>
        <w:spacing w:before="20" w:after="40" w:line="276" w:lineRule="auto"/>
      </w:pPr>
      <w:r>
        <w:rPr>
          <w:rFonts w:ascii="Calibri" w:hAnsi="Calibri"/>
          <w:color w:val="1E293B"/>
          <w:sz w:val="20"/>
        </w:rPr>
      </w:r>
      <w:r>
        <w:rPr>
          <w:rFonts w:ascii="Calibri" w:hAnsi="Calibri"/>
          <w:b/>
          <w:color w:val="1E293B"/>
          <w:sz w:val="20"/>
        </w:rPr>
        <w:t>File System Access API (`window.showDirectoryPicker`)</w:t>
      </w:r>
      <w:r>
        <w:rPr>
          <w:rFonts w:ascii="Calibri" w:hAnsi="Calibri"/>
          <w:color w:val="1E293B"/>
          <w:sz w:val="20"/>
        </w:rPr>
        <w:t>:</w:t>
      </w:r>
    </w:p>
    <w:p>
      <w:pPr>
        <w:pStyle w:val="ListBullet"/>
        <w:spacing w:before="20" w:after="40" w:line="276" w:lineRule="auto"/>
      </w:pPr>
      <w:r>
        <w:rPr>
          <w:rFonts w:ascii="Calibri" w:hAnsi="Calibri"/>
          <w:color w:val="1E293B"/>
          <w:sz w:val="20"/>
        </w:rPr>
        <w:t>Built on modern Chromium web standards (supported in Chrome, Edge, Brave, Opera).</w:t>
      </w:r>
    </w:p>
    <w:p>
      <w:pPr>
        <w:pStyle w:val="ListBullet"/>
        <w:spacing w:before="20" w:after="40" w:line="276" w:lineRule="auto"/>
      </w:pPr>
      <w:r>
        <w:rPr>
          <w:rFonts w:ascii="Calibri" w:hAnsi="Calibri"/>
          <w:color w:val="1E293B"/>
          <w:sz w:val="20"/>
        </w:rPr>
        <w:t xml:space="preserve">When you click </w:t>
      </w:r>
      <w:r>
        <w:rPr>
          <w:rFonts w:ascii="Calibri" w:hAnsi="Calibri"/>
          <w:b/>
          <w:color w:val="1E293B"/>
          <w:sz w:val="20"/>
        </w:rPr>
        <w:t>Connect Local Drive Folder</w:t>
      </w:r>
      <w:r>
        <w:rPr>
          <w:rFonts w:ascii="Calibri" w:hAnsi="Calibri"/>
          <w:color w:val="1E293B"/>
          <w:sz w:val="20"/>
        </w:rPr>
        <w:t>, the browser prompts you to select a local directory on your drive.</w:t>
      </w:r>
    </w:p>
    <w:p>
      <w:pPr>
        <w:pStyle w:val="ListBullet"/>
        <w:spacing w:before="20" w:after="40" w:line="276" w:lineRule="auto"/>
      </w:pPr>
      <w:r>
        <w:rPr>
          <w:rFonts w:ascii="Calibri" w:hAnsi="Calibri"/>
          <w:color w:val="1E293B"/>
          <w:sz w:val="20"/>
        </w:rPr>
        <w:t>Selecting your local Google Drive or OneDrive folder grants OmniDash secure, sandboxed read/write permissions directly to the operating system's local filesystem mirror.</w:t>
      </w:r>
    </w:p>
    <w:p>
      <w:pPr>
        <w:pStyle w:val="ListNumber"/>
        <w:spacing w:before="20" w:after="40" w:line="276" w:lineRule="auto"/>
      </w:pPr>
      <w:r>
        <w:rPr>
          <w:rFonts w:ascii="Calibri" w:hAnsi="Calibri"/>
          <w:color w:val="1E293B"/>
          <w:sz w:val="20"/>
        </w:rPr>
      </w:r>
      <w:r>
        <w:rPr>
          <w:rFonts w:ascii="Calibri" w:hAnsi="Calibri"/>
          <w:b/>
          <w:color w:val="1E293B"/>
          <w:sz w:val="20"/>
        </w:rPr>
        <w:t>Persistent Directory Handle in IndexedDB</w:t>
      </w:r>
      <w:r>
        <w:rPr>
          <w:rFonts w:ascii="Calibri" w:hAnsi="Calibri"/>
          <w:color w:val="1E293B"/>
          <w:sz w:val="20"/>
        </w:rPr>
        <w:t>:</w:t>
      </w:r>
    </w:p>
    <w:p>
      <w:pPr>
        <w:pStyle w:val="ListBullet"/>
        <w:spacing w:before="20" w:after="40" w:line="276" w:lineRule="auto"/>
      </w:pPr>
      <w:r>
        <w:rPr>
          <w:rFonts w:ascii="Calibri" w:hAnsi="Calibri"/>
          <w:color w:val="1E293B"/>
          <w:sz w:val="20"/>
        </w:rPr>
        <w:t>The granted FileSystemDirectoryHandle is safely serialized and saved in a dedicated IndexedDB database (OmniDash_Drive_Storage).</w:t>
      </w:r>
    </w:p>
    <w:p>
      <w:pPr>
        <w:pStyle w:val="ListBullet"/>
        <w:spacing w:before="20" w:after="40" w:line="276" w:lineRule="auto"/>
      </w:pPr>
      <w:r>
        <w:rPr>
          <w:rFonts w:ascii="Calibri" w:hAnsi="Calibri"/>
          <w:color w:val="1E293B"/>
          <w:sz w:val="20"/>
        </w:rPr>
        <w:t>When you refresh the browser or relaunch the standalone HTML file, OmniDash automatically detects your previously connected Drive folder and verifies read/write permission without needing you to browse for it again.</w:t>
      </w:r>
    </w:p>
    <w:p>
      <w:pPr>
        <w:pStyle w:val="ListNumber"/>
        <w:spacing w:before="20" w:after="40" w:line="276" w:lineRule="auto"/>
      </w:pPr>
      <w:r>
        <w:rPr>
          <w:rFonts w:ascii="Calibri" w:hAnsi="Calibri"/>
          <w:color w:val="1E293B"/>
          <w:sz w:val="20"/>
        </w:rPr>
      </w:r>
      <w:r>
        <w:rPr>
          <w:rFonts w:ascii="Calibri" w:hAnsi="Calibri"/>
          <w:b/>
          <w:color w:val="1E293B"/>
          <w:sz w:val="20"/>
        </w:rPr>
        <w:t>One-Click File Ingestion &amp; Picking</w:t>
      </w:r>
      <w:r>
        <w:rPr>
          <w:rFonts w:ascii="Calibri" w:hAnsi="Calibri"/>
          <w:color w:val="1E293B"/>
          <w:sz w:val="20"/>
        </w:rPr>
        <w:t>:</w:t>
      </w:r>
    </w:p>
    <w:p>
      <w:pPr>
        <w:pStyle w:val="ListBullet"/>
        <w:spacing w:before="20" w:after="40" w:line="276" w:lineRule="auto"/>
      </w:pPr>
      <w:r>
        <w:rPr>
          <w:rFonts w:ascii="Calibri" w:hAnsi="Calibri"/>
          <w:color w:val="1E293B"/>
          <w:sz w:val="20"/>
        </w:rPr>
        <w:t xml:space="preserve">The </w:t>
      </w:r>
      <w:r>
        <w:rPr>
          <w:rFonts w:ascii="Calibri" w:hAnsi="Calibri"/>
          <w:b/>
          <w:color w:val="1E293B"/>
          <w:sz w:val="20"/>
        </w:rPr>
        <w:t>Files on Drive</w:t>
      </w:r>
      <w:r>
        <w:rPr>
          <w:rFonts w:ascii="Calibri" w:hAnsi="Calibri"/>
          <w:color w:val="1E293B"/>
          <w:sz w:val="20"/>
        </w:rPr>
        <w:t xml:space="preserve"> tab automatically scans your connected drive folder for supported business files (.csv, .xlsx, .xls, .json, .pdf, .pptx, .omnidash).</w:t>
      </w:r>
    </w:p>
    <w:p>
      <w:pPr>
        <w:pStyle w:val="ListBullet"/>
        <w:spacing w:before="20" w:after="40" w:line="276" w:lineRule="auto"/>
      </w:pPr>
      <w:r>
        <w:rPr>
          <w:rFonts w:ascii="Calibri" w:hAnsi="Calibri"/>
          <w:color w:val="1E293B"/>
          <w:sz w:val="20"/>
        </w:rPr>
        <w:t xml:space="preserve">Clicking </w:t>
      </w:r>
      <w:r>
        <w:rPr>
          <w:rFonts w:ascii="Calibri" w:hAnsi="Calibri"/>
          <w:b/>
          <w:color w:val="1E293B"/>
          <w:sz w:val="20"/>
        </w:rPr>
        <w:t>Load Dataset</w:t>
      </w:r>
      <w:r>
        <w:rPr>
          <w:rFonts w:ascii="Calibri" w:hAnsi="Calibri"/>
          <w:color w:val="1E293B"/>
          <w:sz w:val="20"/>
        </w:rPr>
        <w:t xml:space="preserve"> directly streams the file into memory and auto-profiles it.</w:t>
      </w:r>
    </w:p>
    <w:p>
      <w:pPr>
        <w:pStyle w:val="ListBullet"/>
        <w:spacing w:before="20" w:after="40" w:line="276" w:lineRule="auto"/>
      </w:pPr>
      <w:r>
        <w:rPr>
          <w:rFonts w:ascii="Calibri" w:hAnsi="Calibri"/>
          <w:color w:val="1E293B"/>
          <w:sz w:val="20"/>
        </w:rPr>
        <w:t xml:space="preserve">Clicking </w:t>
      </w:r>
      <w:r>
        <w:rPr>
          <w:rFonts w:ascii="Calibri" w:hAnsi="Calibri"/>
          <w:b/>
          <w:color w:val="1E293B"/>
          <w:sz w:val="20"/>
        </w:rPr>
        <w:t>Restore Workspace</w:t>
      </w:r>
      <w:r>
        <w:rPr>
          <w:rFonts w:ascii="Calibri" w:hAnsi="Calibri"/>
          <w:color w:val="1E293B"/>
          <w:sz w:val="20"/>
        </w:rPr>
        <w:t xml:space="preserve"> on an .omnidash file immediately loads the full analytics environment.</w:t>
      </w:r>
    </w:p>
    <w:p>
      <w:pPr>
        <w:keepNext/>
        <w:spacing w:before="280" w:after="80"/>
      </w:pPr>
      <w:r>
        <w:rPr>
          <w:rFonts w:ascii="Calibri" w:hAnsi="Calibri"/>
          <w:b/>
          <w:color w:val="1E293B"/>
          <w:sz w:val="25"/>
        </w:rPr>
        <w:t>9.2 Complete Workspace Packaging (`.omnidash`)</w:t>
      </w:r>
    </w:p>
    <w:p>
      <w:pPr>
        <w:spacing w:before="40" w:after="120" w:line="288" w:lineRule="auto"/>
      </w:pPr>
      <w:r>
        <w:rPr>
          <w:rFonts w:ascii="Calibri" w:hAnsi="Calibri"/>
          <w:color w:val="334155"/>
          <w:sz w:val="20"/>
        </w:rPr>
        <w:t>Traditional dashboard tools export static CSV or Excel files, losing your calculated columns, custom widgets, compound filters, KPI targets, branding colors, and slide decks.</w:t>
      </w:r>
    </w:p>
    <w:p>
      <w:pPr>
        <w:spacing w:before="40" w:after="120" w:line="288" w:lineRule="auto"/>
      </w:pPr>
      <w:r>
        <w:rPr>
          <w:rFonts w:ascii="Calibri" w:hAnsi="Calibri"/>
          <w:color w:val="334155"/>
          <w:sz w:val="20"/>
        </w:rPr>
        <w:t>OmniDash solves this with the .omnidash workspace package:</w:t>
      </w:r>
    </w:p>
    <w:p>
      <w:pPr>
        <w:pStyle w:val="ListBullet"/>
        <w:spacing w:before="20" w:after="40" w:line="276" w:lineRule="auto"/>
      </w:pPr>
      <w:r>
        <w:rPr>
          <w:rFonts w:ascii="Calibri" w:hAnsi="Calibri"/>
          <w:color w:val="1E293B"/>
          <w:sz w:val="20"/>
        </w:rPr>
      </w:r>
      <w:r>
        <w:rPr>
          <w:rFonts w:ascii="Calibri" w:hAnsi="Calibri"/>
          <w:b/>
          <w:color w:val="1E293B"/>
          <w:sz w:val="20"/>
        </w:rPr>
        <w:t>What is contained in an `.omnidash` file?</w:t>
      </w:r>
      <w:r>
        <w:rPr>
          <w:rFonts w:ascii="Calibri" w:hAnsi="Calibri"/>
          <w:color w:val="1E293B"/>
          <w:sz w:val="20"/>
        </w:rPr>
      </w:r>
    </w:p>
    <w:p>
      <w:pPr>
        <w:pStyle w:val="ListBullet"/>
        <w:spacing w:before="20" w:after="40" w:line="276" w:lineRule="auto"/>
      </w:pPr>
      <w:r>
        <w:rPr>
          <w:rFonts w:ascii="Calibri" w:hAnsi="Calibri"/>
          <w:color w:val="1E293B"/>
          <w:sz w:val="20"/>
        </w:rPr>
        <w:t>Full raw dataset records and schema metadata</w:t>
      </w:r>
    </w:p>
    <w:p>
      <w:pPr>
        <w:pStyle w:val="ListBullet"/>
        <w:spacing w:before="20" w:after="40" w:line="276" w:lineRule="auto"/>
      </w:pPr>
      <w:r>
        <w:rPr>
          <w:rFonts w:ascii="Calibri" w:hAnsi="Calibri"/>
          <w:color w:val="1E293B"/>
          <w:sz w:val="20"/>
        </w:rPr>
        <w:t>Executive KPI scorecards, targets, and aggregations</w:t>
      </w:r>
    </w:p>
    <w:p>
      <w:pPr>
        <w:pStyle w:val="ListBullet"/>
        <w:spacing w:before="20" w:after="40" w:line="276" w:lineRule="auto"/>
      </w:pPr>
      <w:r>
        <w:rPr>
          <w:rFonts w:ascii="Calibri" w:hAnsi="Calibri"/>
          <w:color w:val="1E293B"/>
          <w:sz w:val="20"/>
        </w:rPr>
        <w:t>Custom reporting widgets, dimensions, measures, and chart types</w:t>
      </w:r>
    </w:p>
    <w:p>
      <w:pPr>
        <w:pStyle w:val="ListBullet"/>
        <w:spacing w:before="20" w:after="40" w:line="276" w:lineRule="auto"/>
      </w:pPr>
      <w:r>
        <w:rPr>
          <w:rFonts w:ascii="Calibri" w:hAnsi="Calibri"/>
          <w:color w:val="1E293B"/>
          <w:sz w:val="20"/>
        </w:rPr>
        <w:t>Corporate brand palette, logo, and title customizations</w:t>
      </w:r>
    </w:p>
    <w:p>
      <w:pPr>
        <w:pStyle w:val="ListBullet"/>
        <w:spacing w:before="20" w:after="40" w:line="276" w:lineRule="auto"/>
      </w:pPr>
      <w:r>
        <w:rPr>
          <w:rFonts w:ascii="Calibri" w:hAnsi="Calibri"/>
          <w:color w:val="1E293B"/>
          <w:sz w:val="20"/>
        </w:rPr>
        <w:t>Advanced compound SQL-like filter rules</w:t>
      </w:r>
    </w:p>
    <w:p>
      <w:pPr>
        <w:pStyle w:val="ListBullet"/>
        <w:spacing w:before="20" w:after="40" w:line="276" w:lineRule="auto"/>
      </w:pPr>
      <w:r>
        <w:rPr>
          <w:rFonts w:ascii="Calibri" w:hAnsi="Calibri"/>
          <w:color w:val="1E293B"/>
          <w:sz w:val="20"/>
        </w:rPr>
        <w:t>Complete Presentation Studio slide deck with speaker talking notes</w:t>
      </w:r>
    </w:p>
    <w:p>
      <w:pPr>
        <w:pStyle w:val="ListBullet"/>
        <w:spacing w:before="20" w:after="40" w:line="276" w:lineRule="auto"/>
      </w:pPr>
      <w:r>
        <w:rPr>
          <w:rFonts w:ascii="Calibri" w:hAnsi="Calibri"/>
          <w:color w:val="1E293B"/>
          <w:sz w:val="20"/>
        </w:rPr>
      </w:r>
      <w:r>
        <w:rPr>
          <w:rFonts w:ascii="Calibri" w:hAnsi="Calibri"/>
          <w:b/>
          <w:color w:val="1E293B"/>
          <w:sz w:val="20"/>
        </w:rPr>
        <w:t>1-Click Portability</w:t>
      </w:r>
      <w:r>
        <w:rPr>
          <w:rFonts w:ascii="Calibri" w:hAnsi="Calibri"/>
          <w:color w:val="1E293B"/>
          <w:sz w:val="20"/>
        </w:rPr>
        <w:t>:</w:t>
      </w:r>
    </w:p>
    <w:p>
      <w:pPr>
        <w:pStyle w:val="ListBullet"/>
        <w:spacing w:before="20" w:after="40" w:line="276" w:lineRule="auto"/>
      </w:pPr>
      <w:r>
        <w:rPr>
          <w:rFonts w:ascii="Calibri" w:hAnsi="Calibri"/>
          <w:color w:val="1E293B"/>
          <w:sz w:val="20"/>
        </w:rPr>
        <w:t>Save an .omnidash snapshot to your Google Drive / OneDrive folder or download it to your PC.</w:t>
      </w:r>
    </w:p>
    <w:p>
      <w:pPr>
        <w:pStyle w:val="ListBullet"/>
        <w:spacing w:before="20" w:after="40" w:line="276" w:lineRule="auto"/>
      </w:pPr>
      <w:r>
        <w:rPr>
          <w:rFonts w:ascii="Calibri" w:hAnsi="Calibri"/>
          <w:color w:val="1E293B"/>
          <w:sz w:val="20"/>
        </w:rPr>
        <w:t xml:space="preserve">Send the file to a colleague or load it on another machine. Clicking </w:t>
      </w:r>
      <w:r>
        <w:rPr>
          <w:rFonts w:ascii="Calibri" w:hAnsi="Calibri"/>
          <w:b/>
          <w:color w:val="1E293B"/>
          <w:sz w:val="20"/>
        </w:rPr>
        <w:t>Restore Workspace</w:t>
      </w:r>
      <w:r>
        <w:rPr>
          <w:rFonts w:ascii="Calibri" w:hAnsi="Calibri"/>
          <w:color w:val="1E293B"/>
          <w:sz w:val="20"/>
        </w:rPr>
        <w:t xml:space="preserve"> restores the exact dashboard state in milliseconds.</w:t>
      </w:r>
    </w:p>
    <w:p>
      <w:pPr>
        <w:pStyle w:val="ListBullet"/>
        <w:spacing w:before="20" w:after="40" w:line="276" w:lineRule="auto"/>
      </w:pPr>
      <w:r>
        <w:rPr>
          <w:rFonts w:ascii="Calibri" w:hAnsi="Calibri"/>
          <w:color w:val="1E293B"/>
          <w:sz w:val="20"/>
        </w:rPr>
      </w:r>
      <w:r>
        <w:rPr>
          <w:rFonts w:ascii="Calibri" w:hAnsi="Calibri"/>
          <w:b/>
          <w:color w:val="1E293B"/>
          <w:sz w:val="20"/>
        </w:rPr>
        <w:t>Debounced Background Auto-Sync</w:t>
      </w:r>
      <w:r>
        <w:rPr>
          <w:rFonts w:ascii="Calibri" w:hAnsi="Calibri"/>
          <w:color w:val="1E293B"/>
          <w:sz w:val="20"/>
        </w:rPr>
        <w:t>:</w:t>
      </w:r>
    </w:p>
    <w:p>
      <w:pPr>
        <w:pStyle w:val="ListBullet"/>
        <w:spacing w:before="20" w:after="40" w:line="276" w:lineRule="auto"/>
      </w:pPr>
      <w:r>
        <w:rPr>
          <w:rFonts w:ascii="Calibri" w:hAnsi="Calibri"/>
          <w:color w:val="1E293B"/>
          <w:sz w:val="20"/>
        </w:rPr>
        <w:t xml:space="preserve">Enable the </w:t>
      </w:r>
      <w:r>
        <w:rPr>
          <w:rFonts w:ascii="Calibri" w:hAnsi="Calibri"/>
          <w:b/>
          <w:color w:val="1E293B"/>
          <w:sz w:val="20"/>
        </w:rPr>
        <w:t>Auto-save workspace snapshot to Drive</w:t>
      </w:r>
      <w:r>
        <w:rPr>
          <w:rFonts w:ascii="Calibri" w:hAnsi="Calibri"/>
          <w:color w:val="1E293B"/>
          <w:sz w:val="20"/>
        </w:rPr>
        <w:t xml:space="preserve"> toggle in the Drive Hub.</w:t>
      </w:r>
    </w:p>
    <w:p>
      <w:pPr>
        <w:pStyle w:val="ListBullet"/>
        <w:spacing w:before="20" w:after="40" w:line="276" w:lineRule="auto"/>
      </w:pPr>
      <w:r>
        <w:rPr>
          <w:rFonts w:ascii="Calibri" w:hAnsi="Calibri"/>
          <w:color w:val="1E293B"/>
          <w:sz w:val="20"/>
        </w:rPr>
        <w:t>Every time you add a widget, modify a formula, adjust brand colors, or update filter rules, OmniDash debounces a background snapshot (&lt;Dataset&gt;_AutoBackup.omnidash) directly to your connected drive folder.</w:t>
      </w:r>
    </w:p>
    <w:p>
      <w:pPr>
        <w:keepNext/>
        <w:spacing w:before="360" w:after="120"/>
      </w:pPr>
      <w:r>
        <w:rPr>
          <w:rFonts w:ascii="Calibri" w:hAnsi="Calibri"/>
          <w:b/>
          <w:color w:val="0F172A"/>
          <w:sz w:val="32"/>
        </w:rPr>
        <w:t>10. Workspace Persistence, Privacy &amp; Performance Guidelines</w:t>
      </w:r>
    </w:p>
    <w:p>
      <w:pPr>
        <w:keepNext/>
        <w:spacing w:before="280" w:after="80"/>
      </w:pPr>
      <w:r>
        <w:rPr>
          <w:rFonts w:ascii="Calibri" w:hAnsi="Calibri"/>
          <w:b/>
          <w:color w:val="1E293B"/>
          <w:sz w:val="25"/>
        </w:rPr>
        <w:t>10.1 Data Capacity &amp; Performance Guidelines</w:t>
      </w:r>
    </w:p>
    <w:p>
      <w:pPr>
        <w:spacing w:before="40" w:after="120" w:line="288" w:lineRule="auto"/>
      </w:pPr>
      <w:r>
        <w:rPr>
          <w:rFonts w:ascii="Calibri" w:hAnsi="Calibri"/>
          <w:color w:val="334155"/>
          <w:sz w:val="20"/>
        </w:rPr>
        <w:t>OmniDash has been optimized for rapid in-memory processing. The following benchmarks are based on standard modern laptops (16 GB RAM, Chrome/Edge):</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987"/>
        <w:gridCol w:w="1987"/>
        <w:gridCol w:w="1987"/>
        <w:gridCol w:w="1987"/>
        <w:gridCol w:w="1987"/>
      </w:tblGrid>
      <w:tr>
        <w:tc>
          <w:tcPr>
            <w:tcW w:type="dxa" w:w="1987"/>
            <w:shd w:fill="1E293B"/>
            <w:tcMar>
              <w:top w:w="80" w:type="dxa"/>
              <w:bottom w:w="80" w:type="dxa"/>
              <w:left w:w="100" w:type="dxa"/>
              <w:right w:w="100" w:type="dxa"/>
            </w:tcMar>
          </w:tcPr>
          <w:p>
            <w:r>
              <w:rPr>
                <w:rFonts w:ascii="Calibri" w:hAnsi="Calibri"/>
                <w:b/>
                <w:color w:val="FFFFFF"/>
                <w:sz w:val="19"/>
              </w:rPr>
              <w:t>Dataset Size</w:t>
            </w:r>
          </w:p>
        </w:tc>
        <w:tc>
          <w:tcPr>
            <w:tcW w:type="dxa" w:w="1987"/>
            <w:shd w:fill="1E293B"/>
            <w:tcMar>
              <w:top w:w="80" w:type="dxa"/>
              <w:bottom w:w="80" w:type="dxa"/>
              <w:left w:w="100" w:type="dxa"/>
              <w:right w:w="100" w:type="dxa"/>
            </w:tcMar>
          </w:tcPr>
          <w:p>
            <w:r>
              <w:rPr>
                <w:rFonts w:ascii="Calibri" w:hAnsi="Calibri"/>
                <w:b/>
                <w:color w:val="FFFFFF"/>
                <w:sz w:val="19"/>
              </w:rPr>
              <w:t>Ingestion Time</w:t>
            </w:r>
          </w:p>
        </w:tc>
        <w:tc>
          <w:tcPr>
            <w:tcW w:type="dxa" w:w="1987"/>
            <w:shd w:fill="1E293B"/>
            <w:tcMar>
              <w:top w:w="80" w:type="dxa"/>
              <w:bottom w:w="80" w:type="dxa"/>
              <w:left w:w="100" w:type="dxa"/>
              <w:right w:w="100" w:type="dxa"/>
            </w:tcMar>
          </w:tcPr>
          <w:p>
            <w:r>
              <w:rPr>
                <w:rFonts w:ascii="Calibri" w:hAnsi="Calibri"/>
                <w:b/>
                <w:color w:val="FFFFFF"/>
                <w:sz w:val="19"/>
              </w:rPr>
              <w:t>Filter Response</w:t>
            </w:r>
          </w:p>
        </w:tc>
        <w:tc>
          <w:tcPr>
            <w:tcW w:type="dxa" w:w="1987"/>
            <w:shd w:fill="1E293B"/>
            <w:tcMar>
              <w:top w:w="80" w:type="dxa"/>
              <w:bottom w:w="80" w:type="dxa"/>
              <w:left w:w="100" w:type="dxa"/>
              <w:right w:w="100" w:type="dxa"/>
            </w:tcMar>
          </w:tcPr>
          <w:p>
            <w:r>
              <w:rPr>
                <w:rFonts w:ascii="Calibri" w:hAnsi="Calibri"/>
                <w:b/>
                <w:color w:val="FFFFFF"/>
                <w:sz w:val="19"/>
              </w:rPr>
              <w:t>Chart Redraw</w:t>
            </w:r>
          </w:p>
        </w:tc>
        <w:tc>
          <w:tcPr>
            <w:tcW w:type="dxa" w:w="1987"/>
            <w:shd w:fill="1E293B"/>
            <w:tcMar>
              <w:top w:w="80" w:type="dxa"/>
              <w:bottom w:w="80" w:type="dxa"/>
              <w:left w:w="100" w:type="dxa"/>
              <w:right w:w="100" w:type="dxa"/>
            </w:tcMar>
          </w:tcPr>
          <w:p>
            <w:r>
              <w:rPr>
                <w:rFonts w:ascii="Calibri" w:hAnsi="Calibri"/>
                <w:b/>
                <w:color w:val="FFFFFF"/>
                <w:sz w:val="19"/>
              </w:rPr>
              <w:t>Storage Mechanism</w:t>
            </w:r>
          </w:p>
        </w:tc>
      </w:tr>
      <w:tr>
        <w:tc>
          <w:tcPr>
            <w:tcW w:type="dxa" w:w="1987"/>
            <w:shd w:fill="FFFFFF"/>
            <w:tcMar>
              <w:top w:w="60" w:type="dxa"/>
              <w:bottom w:w="60" w:type="dxa"/>
              <w:left w:w="100" w:type="dxa"/>
              <w:right w:w="100" w:type="dxa"/>
            </w:tcMar>
          </w:tcPr>
          <w:p>
            <w:r>
              <w:rPr>
                <w:rFonts w:ascii="Calibri" w:hAnsi="Calibri"/>
                <w:color w:val="1E293B"/>
                <w:sz w:val="18"/>
              </w:rPr>
              <w:t>1,000 – 10,000 rows</w:t>
            </w:r>
          </w:p>
        </w:tc>
        <w:tc>
          <w:tcPr>
            <w:tcW w:type="dxa" w:w="1987"/>
            <w:shd w:fill="FFFFFF"/>
            <w:tcMar>
              <w:top w:w="60" w:type="dxa"/>
              <w:bottom w:w="60" w:type="dxa"/>
              <w:left w:w="100" w:type="dxa"/>
              <w:right w:w="100" w:type="dxa"/>
            </w:tcMar>
          </w:tcPr>
          <w:p>
            <w:r>
              <w:rPr>
                <w:rFonts w:ascii="Calibri" w:hAnsi="Calibri"/>
                <w:color w:val="1E293B"/>
                <w:sz w:val="18"/>
              </w:rPr>
              <w:t>&lt; 0.2 seconds</w:t>
            </w:r>
          </w:p>
        </w:tc>
        <w:tc>
          <w:tcPr>
            <w:tcW w:type="dxa" w:w="1987"/>
            <w:shd w:fill="FFFFFF"/>
            <w:tcMar>
              <w:top w:w="60" w:type="dxa"/>
              <w:bottom w:w="60" w:type="dxa"/>
              <w:left w:w="100" w:type="dxa"/>
              <w:right w:w="100" w:type="dxa"/>
            </w:tcMar>
          </w:tcPr>
          <w:p>
            <w:r>
              <w:rPr>
                <w:rFonts w:ascii="Calibri" w:hAnsi="Calibri"/>
                <w:color w:val="1E293B"/>
                <w:sz w:val="18"/>
              </w:rPr>
              <w:t>Instant (&lt; 5ms)</w:t>
            </w:r>
          </w:p>
        </w:tc>
        <w:tc>
          <w:tcPr>
            <w:tcW w:type="dxa" w:w="1987"/>
            <w:shd w:fill="FFFFFF"/>
            <w:tcMar>
              <w:top w:w="60" w:type="dxa"/>
              <w:bottom w:w="60" w:type="dxa"/>
              <w:left w:w="100" w:type="dxa"/>
              <w:right w:w="100" w:type="dxa"/>
            </w:tcMar>
          </w:tcPr>
          <w:p>
            <w:r>
              <w:rPr>
                <w:rFonts w:ascii="Calibri" w:hAnsi="Calibri"/>
                <w:color w:val="1E293B"/>
                <w:sz w:val="18"/>
              </w:rPr>
              <w:t>60 FPS</w:t>
            </w:r>
          </w:p>
        </w:tc>
        <w:tc>
          <w:tcPr>
            <w:tcW w:type="dxa" w:w="1987"/>
            <w:shd w:fill="FFFFFF"/>
            <w:tcMar>
              <w:top w:w="60" w:type="dxa"/>
              <w:bottom w:w="60" w:type="dxa"/>
              <w:left w:w="100" w:type="dxa"/>
              <w:right w:w="100" w:type="dxa"/>
            </w:tcMar>
          </w:tcPr>
          <w:p>
            <w:r>
              <w:rPr>
                <w:rFonts w:ascii="Calibri" w:hAnsi="Calibri"/>
                <w:color w:val="1E293B"/>
                <w:sz w:val="18"/>
              </w:rPr>
              <w:t>LocalStorage + IndexedDB</w:t>
            </w:r>
          </w:p>
        </w:tc>
      </w:tr>
      <w:tr>
        <w:tc>
          <w:tcPr>
            <w:tcW w:type="dxa" w:w="1987"/>
            <w:shd w:fill="F8FAFC"/>
            <w:tcMar>
              <w:top w:w="60" w:type="dxa"/>
              <w:bottom w:w="60" w:type="dxa"/>
              <w:left w:w="100" w:type="dxa"/>
              <w:right w:w="100" w:type="dxa"/>
            </w:tcMar>
          </w:tcPr>
          <w:p>
            <w:r>
              <w:rPr>
                <w:rFonts w:ascii="Calibri" w:hAnsi="Calibri"/>
                <w:color w:val="1E293B"/>
                <w:sz w:val="18"/>
              </w:rPr>
              <w:t>10,000 – 100,000 rows</w:t>
            </w:r>
          </w:p>
        </w:tc>
        <w:tc>
          <w:tcPr>
            <w:tcW w:type="dxa" w:w="1987"/>
            <w:shd w:fill="F8FAFC"/>
            <w:tcMar>
              <w:top w:w="60" w:type="dxa"/>
              <w:bottom w:w="60" w:type="dxa"/>
              <w:left w:w="100" w:type="dxa"/>
              <w:right w:w="100" w:type="dxa"/>
            </w:tcMar>
          </w:tcPr>
          <w:p>
            <w:r>
              <w:rPr>
                <w:rFonts w:ascii="Calibri" w:hAnsi="Calibri"/>
                <w:color w:val="1E293B"/>
                <w:sz w:val="18"/>
              </w:rPr>
              <w:t>&lt; 0.8 seconds</w:t>
            </w:r>
          </w:p>
        </w:tc>
        <w:tc>
          <w:tcPr>
            <w:tcW w:type="dxa" w:w="1987"/>
            <w:shd w:fill="F8FAFC"/>
            <w:tcMar>
              <w:top w:w="60" w:type="dxa"/>
              <w:bottom w:w="60" w:type="dxa"/>
              <w:left w:w="100" w:type="dxa"/>
              <w:right w:w="100" w:type="dxa"/>
            </w:tcMar>
          </w:tcPr>
          <w:p>
            <w:r>
              <w:rPr>
                <w:rFonts w:ascii="Calibri" w:hAnsi="Calibri"/>
                <w:color w:val="1E293B"/>
                <w:sz w:val="18"/>
              </w:rPr>
              <w:t>Instant (&lt; 20ms)</w:t>
            </w:r>
          </w:p>
        </w:tc>
        <w:tc>
          <w:tcPr>
            <w:tcW w:type="dxa" w:w="1987"/>
            <w:shd w:fill="F8FAFC"/>
            <w:tcMar>
              <w:top w:w="60" w:type="dxa"/>
              <w:bottom w:w="60" w:type="dxa"/>
              <w:left w:w="100" w:type="dxa"/>
              <w:right w:w="100" w:type="dxa"/>
            </w:tcMar>
          </w:tcPr>
          <w:p>
            <w:r>
              <w:rPr>
                <w:rFonts w:ascii="Calibri" w:hAnsi="Calibri"/>
                <w:color w:val="1E293B"/>
                <w:sz w:val="18"/>
              </w:rPr>
              <w:t>Smooth</w:t>
            </w:r>
          </w:p>
        </w:tc>
        <w:tc>
          <w:tcPr>
            <w:tcW w:type="dxa" w:w="1987"/>
            <w:shd w:fill="F8FAFC"/>
            <w:tcMar>
              <w:top w:w="60" w:type="dxa"/>
              <w:bottom w:w="60" w:type="dxa"/>
              <w:left w:w="100" w:type="dxa"/>
              <w:right w:w="100" w:type="dxa"/>
            </w:tcMar>
          </w:tcPr>
          <w:p>
            <w:r>
              <w:rPr>
                <w:rFonts w:ascii="Calibri" w:hAnsi="Calibri"/>
                <w:color w:val="1E293B"/>
                <w:sz w:val="18"/>
              </w:rPr>
              <w:t>IndexedDB</w:t>
            </w:r>
          </w:p>
        </w:tc>
      </w:tr>
      <w:tr>
        <w:tc>
          <w:tcPr>
            <w:tcW w:type="dxa" w:w="1987"/>
            <w:shd w:fill="FFFFFF"/>
            <w:tcMar>
              <w:top w:w="60" w:type="dxa"/>
              <w:bottom w:w="60" w:type="dxa"/>
              <w:left w:w="100" w:type="dxa"/>
              <w:right w:w="100" w:type="dxa"/>
            </w:tcMar>
          </w:tcPr>
          <w:p>
            <w:r>
              <w:rPr>
                <w:rFonts w:ascii="Calibri" w:hAnsi="Calibri"/>
                <w:color w:val="1E293B"/>
                <w:sz w:val="18"/>
              </w:rPr>
              <w:t>100,000 – 300,000 rows</w:t>
            </w:r>
          </w:p>
        </w:tc>
        <w:tc>
          <w:tcPr>
            <w:tcW w:type="dxa" w:w="1987"/>
            <w:shd w:fill="FFFFFF"/>
            <w:tcMar>
              <w:top w:w="60" w:type="dxa"/>
              <w:bottom w:w="60" w:type="dxa"/>
              <w:left w:w="100" w:type="dxa"/>
              <w:right w:w="100" w:type="dxa"/>
            </w:tcMar>
          </w:tcPr>
          <w:p>
            <w:r>
              <w:rPr>
                <w:rFonts w:ascii="Calibri" w:hAnsi="Calibri"/>
                <w:color w:val="1E293B"/>
                <w:sz w:val="18"/>
              </w:rPr>
              <w:t>~ 2.5 seconds</w:t>
            </w:r>
          </w:p>
        </w:tc>
        <w:tc>
          <w:tcPr>
            <w:tcW w:type="dxa" w:w="1987"/>
            <w:shd w:fill="FFFFFF"/>
            <w:tcMar>
              <w:top w:w="60" w:type="dxa"/>
              <w:bottom w:w="60" w:type="dxa"/>
              <w:left w:w="100" w:type="dxa"/>
              <w:right w:w="100" w:type="dxa"/>
            </w:tcMar>
          </w:tcPr>
          <w:p>
            <w:r>
              <w:rPr>
                <w:rFonts w:ascii="Calibri" w:hAnsi="Calibri"/>
                <w:color w:val="1E293B"/>
                <w:sz w:val="18"/>
              </w:rPr>
              <w:t>~ 50ms</w:t>
            </w:r>
          </w:p>
        </w:tc>
        <w:tc>
          <w:tcPr>
            <w:tcW w:type="dxa" w:w="1987"/>
            <w:shd w:fill="FFFFFF"/>
            <w:tcMar>
              <w:top w:w="60" w:type="dxa"/>
              <w:bottom w:w="60" w:type="dxa"/>
              <w:left w:w="100" w:type="dxa"/>
              <w:right w:w="100" w:type="dxa"/>
            </w:tcMar>
          </w:tcPr>
          <w:p>
            <w:r>
              <w:rPr>
                <w:rFonts w:ascii="Calibri" w:hAnsi="Calibri"/>
                <w:color w:val="1E293B"/>
                <w:sz w:val="18"/>
              </w:rPr>
              <w:t>Optimized</w:t>
            </w:r>
          </w:p>
        </w:tc>
        <w:tc>
          <w:tcPr>
            <w:tcW w:type="dxa" w:w="1987"/>
            <w:shd w:fill="FFFFFF"/>
            <w:tcMar>
              <w:top w:w="60" w:type="dxa"/>
              <w:bottom w:w="60" w:type="dxa"/>
              <w:left w:w="100" w:type="dxa"/>
              <w:right w:w="100" w:type="dxa"/>
            </w:tcMar>
          </w:tcPr>
          <w:p>
            <w:r>
              <w:rPr>
                <w:rFonts w:ascii="Calibri" w:hAnsi="Calibri"/>
                <w:color w:val="1E293B"/>
                <w:sz w:val="18"/>
              </w:rPr>
              <w:t>IndexedDB (In-Memory Chunked)</w:t>
            </w:r>
          </w:p>
        </w:tc>
      </w:tr>
    </w:tbl>
    <w:p>
      <w:pPr>
        <w:spacing w:before="40" w:after="160"/>
      </w:pPr>
    </w:p>
    <w:p>
      <w:pPr>
        <w:keepNext/>
        <w:spacing w:before="280" w:after="80"/>
      </w:pPr>
      <w:r>
        <w:rPr>
          <w:rFonts w:ascii="Calibri" w:hAnsi="Calibri"/>
          <w:b/>
          <w:color w:val="1E293B"/>
          <w:sz w:val="25"/>
        </w:rPr>
        <w:t>10.2 Performance Best Practices:</w:t>
      </w:r>
    </w:p>
    <w:p>
      <w:pPr>
        <w:pStyle w:val="ListNumber"/>
        <w:spacing w:before="20" w:after="40" w:line="276" w:lineRule="auto"/>
      </w:pPr>
      <w:r>
        <w:rPr>
          <w:rFonts w:ascii="Calibri" w:hAnsi="Calibri"/>
          <w:color w:val="1E293B"/>
          <w:sz w:val="20"/>
        </w:rPr>
      </w:r>
      <w:r>
        <w:rPr>
          <w:rFonts w:ascii="Calibri" w:hAnsi="Calibri"/>
          <w:b/>
          <w:color w:val="1E293B"/>
          <w:sz w:val="20"/>
        </w:rPr>
        <w:t>Memoized Aggregations</w:t>
      </w:r>
      <w:r>
        <w:rPr>
          <w:rFonts w:ascii="Calibri" w:hAnsi="Calibri"/>
          <w:color w:val="1E293B"/>
          <w:sz w:val="20"/>
        </w:rPr>
        <w:t>: Chart aggregations and profiling passes are wrapped in React useMemo hooks to prevent redundant re-calculations during typing.</w:t>
      </w:r>
    </w:p>
    <w:p>
      <w:pPr>
        <w:pStyle w:val="ListNumber"/>
        <w:spacing w:before="20" w:after="40" w:line="276" w:lineRule="auto"/>
      </w:pPr>
      <w:r>
        <w:rPr>
          <w:rFonts w:ascii="Calibri" w:hAnsi="Calibri"/>
          <w:color w:val="1E293B"/>
          <w:sz w:val="20"/>
        </w:rPr>
      </w:r>
      <w:r>
        <w:rPr>
          <w:rFonts w:ascii="Calibri" w:hAnsi="Calibri"/>
          <w:b/>
          <w:color w:val="1E293B"/>
          <w:sz w:val="20"/>
        </w:rPr>
        <w:t>Debounced Auto-Save</w:t>
      </w:r>
      <w:r>
        <w:rPr>
          <w:rFonts w:ascii="Calibri" w:hAnsi="Calibri"/>
          <w:color w:val="1E293B"/>
          <w:sz w:val="20"/>
        </w:rPr>
        <w:t>: Storage writes are delayed by 400ms following user input, preventing write bottlenecks on heavy search queries.</w:t>
      </w:r>
    </w:p>
    <w:p>
      <w:pPr>
        <w:pStyle w:val="ListNumber"/>
        <w:spacing w:before="20" w:after="40" w:line="276" w:lineRule="auto"/>
      </w:pPr>
      <w:r>
        <w:rPr>
          <w:rFonts w:ascii="Calibri" w:hAnsi="Calibri"/>
          <w:color w:val="1E293B"/>
          <w:sz w:val="20"/>
        </w:rPr>
      </w:r>
      <w:r>
        <w:rPr>
          <w:rFonts w:ascii="Calibri" w:hAnsi="Calibri"/>
          <w:b/>
          <w:color w:val="1E293B"/>
          <w:sz w:val="20"/>
        </w:rPr>
        <w:t>Hardware Acceleration</w:t>
      </w:r>
      <w:r>
        <w:rPr>
          <w:rFonts w:ascii="Calibri" w:hAnsi="Calibri"/>
          <w:color w:val="1E293B"/>
          <w:sz w:val="20"/>
        </w:rPr>
        <w:t>: Ensure hardware acceleration is enabled in your browser settings (chrome://settings/system) for smooth 60 FPS animation on complex scatter and area graphs.</w:t>
      </w:r>
    </w:p>
    <w:p>
      <w:pPr>
        <w:keepNext/>
        <w:spacing w:before="360" w:after="120"/>
      </w:pPr>
      <w:r>
        <w:rPr>
          <w:rFonts w:ascii="Calibri" w:hAnsi="Calibri"/>
          <w:b/>
          <w:color w:val="0F172A"/>
          <w:sz w:val="32"/>
        </w:rPr>
        <w:t>11. Frequently Asked Questions (FAQ) &amp; Troubleshooting</w:t>
      </w:r>
    </w:p>
    <w:p>
      <w:pPr>
        <w:keepNext/>
        <w:spacing w:before="200" w:after="60"/>
      </w:pPr>
      <w:r>
        <w:rPr>
          <w:rFonts w:ascii="Calibri" w:hAnsi="Calibri"/>
          <w:b/>
          <w:color w:val="2563EB"/>
          <w:sz w:val="22"/>
        </w:rPr>
        <w:t>Q1: Does my data ever leave my computer?</w:t>
      </w:r>
    </w:p>
    <w:p>
      <w:pPr>
        <w:spacing w:before="40" w:after="120" w:line="288" w:lineRule="auto"/>
      </w:pPr>
      <w:r>
        <w:rPr>
          <w:rFonts w:ascii="Calibri" w:hAnsi="Calibri"/>
          <w:color w:val="334155"/>
          <w:sz w:val="20"/>
        </w:rPr>
      </w:r>
      <w:r>
        <w:rPr>
          <w:rFonts w:ascii="Calibri" w:hAnsi="Calibri"/>
          <w:b/>
          <w:color w:val="334155"/>
          <w:sz w:val="20"/>
        </w:rPr>
        <w:t>No.</w:t>
      </w:r>
      <w:r>
        <w:rPr>
          <w:rFonts w:ascii="Calibri" w:hAnsi="Calibri"/>
          <w:color w:val="334155"/>
          <w:sz w:val="20"/>
        </w:rPr>
        <w:t xml:space="preserve"> OmniDash has no backend servers, tracking telemetry, or remote databases. All data remains inside your browser's private sandbox. If you disconnect your internet cable, OmniDash continues to function with 100% feature parity.</w:t>
      </w:r>
    </w:p>
    <w:p>
      <w:pPr>
        <w:keepNext/>
        <w:spacing w:before="200" w:after="60"/>
      </w:pPr>
      <w:r>
        <w:rPr>
          <w:rFonts w:ascii="Calibri" w:hAnsi="Calibri"/>
          <w:b/>
          <w:color w:val="2563EB"/>
          <w:sz w:val="22"/>
        </w:rPr>
        <w:t>Q2: Can I email the dashboard to a colleague who doesn't have OmniDash installed?</w:t>
      </w:r>
    </w:p>
    <w:p>
      <w:pPr>
        <w:spacing w:before="40" w:after="120" w:line="288" w:lineRule="auto"/>
      </w:pPr>
      <w:r>
        <w:rPr>
          <w:rFonts w:ascii="Calibri" w:hAnsi="Calibri"/>
          <w:color w:val="334155"/>
          <w:sz w:val="20"/>
        </w:rPr>
      </w:r>
      <w:r>
        <w:rPr>
          <w:rFonts w:ascii="Calibri" w:hAnsi="Calibri"/>
          <w:b/>
          <w:color w:val="334155"/>
          <w:sz w:val="20"/>
        </w:rPr>
        <w:t>Yes!</w:t>
      </w:r>
      <w:r>
        <w:rPr>
          <w:rFonts w:ascii="Calibri" w:hAnsi="Calibri"/>
          <w:color w:val="334155"/>
          <w:sz w:val="20"/>
        </w:rPr>
        <w:t xml:space="preserve"> Send them OmniDash_Business_Analytics_Standalone.html (located in the root folder or in OmniDash_Email_Package/). When they double-click it, it opens in their default browser with full interactivity, charts, and presentation capabilities.</w:t>
      </w:r>
    </w:p>
    <w:p>
      <w:pPr>
        <w:keepNext/>
        <w:spacing w:before="200" w:after="60"/>
      </w:pPr>
      <w:r>
        <w:rPr>
          <w:rFonts w:ascii="Calibri" w:hAnsi="Calibri"/>
          <w:b/>
          <w:color w:val="2563EB"/>
          <w:sz w:val="22"/>
        </w:rPr>
        <w:t>Q3: Why did my date column sort incorrectly?</w:t>
      </w:r>
    </w:p>
    <w:p>
      <w:pPr>
        <w:spacing w:before="40" w:after="120" w:line="288" w:lineRule="auto"/>
      </w:pPr>
      <w:r>
        <w:rPr>
          <w:rFonts w:ascii="Calibri" w:hAnsi="Calibri"/>
          <w:color w:val="334155"/>
          <w:sz w:val="20"/>
        </w:rPr>
        <w:t>Ensure your dates follow common formats such as YYYY-MM-DD, MM/DD/YYYY, or DD-MMM-YYYY. OmniDash's calculation engine automatically parses dates into UNIX timestamps for chronological sorting.</w:t>
      </w:r>
    </w:p>
    <w:p>
      <w:pPr>
        <w:keepNext/>
        <w:spacing w:before="200" w:after="60"/>
      </w:pPr>
      <w:r>
        <w:rPr>
          <w:rFonts w:ascii="Calibri" w:hAnsi="Calibri"/>
          <w:b/>
          <w:color w:val="2563EB"/>
          <w:sz w:val="22"/>
        </w:rPr>
        <w:t>Q4: How do I export all dashboard charts at once?</w:t>
      </w:r>
    </w:p>
    <w:p>
      <w:pPr>
        <w:spacing w:before="40" w:after="120" w:line="288" w:lineRule="auto"/>
      </w:pPr>
      <w:r>
        <w:rPr>
          <w:rFonts w:ascii="Calibri" w:hAnsi="Calibri"/>
          <w:color w:val="334155"/>
          <w:sz w:val="20"/>
        </w:rPr>
        <w:t xml:space="preserve">Open the </w:t>
      </w:r>
      <w:r>
        <w:rPr>
          <w:rFonts w:ascii="Calibri" w:hAnsi="Calibri"/>
          <w:b/>
          <w:color w:val="334155"/>
          <w:sz w:val="20"/>
        </w:rPr>
        <w:t>Export</w:t>
      </w:r>
      <w:r>
        <w:rPr>
          <w:rFonts w:ascii="Calibri" w:hAnsi="Calibri"/>
          <w:color w:val="334155"/>
          <w:sz w:val="20"/>
        </w:rPr>
        <w:t xml:space="preserve"> menu in the top navigation bar and select </w:t>
      </w:r>
      <w:r>
        <w:rPr>
          <w:rFonts w:ascii="Calibri" w:hAnsi="Calibri"/>
          <w:b/>
          <w:color w:val="334155"/>
          <w:sz w:val="20"/>
        </w:rPr>
        <w:t>All Charts (ZIP)</w:t>
      </w:r>
      <w:r>
        <w:rPr>
          <w:rFonts w:ascii="Calibri" w:hAnsi="Calibri"/>
          <w:color w:val="334155"/>
          <w:sz w:val="20"/>
        </w:rPr>
        <w:t>. OmniDash will automatically capture all active widget cards at 2x resolution and bundle them into a clean .zip archive.</w:t>
      </w:r>
    </w:p>
    <w:p>
      <w:pPr>
        <w:keepNext/>
        <w:spacing w:before="200" w:after="60"/>
      </w:pPr>
      <w:r>
        <w:rPr>
          <w:rFonts w:ascii="Calibri" w:hAnsi="Calibri"/>
          <w:b/>
          <w:color w:val="2563EB"/>
          <w:sz w:val="22"/>
        </w:rPr>
        <w:t>Q5: Can I customize chart colors to match our brand?</w:t>
      </w:r>
    </w:p>
    <w:p>
      <w:pPr>
        <w:spacing w:before="40" w:after="120" w:line="288" w:lineRule="auto"/>
      </w:pPr>
      <w:r>
        <w:rPr>
          <w:rFonts w:ascii="Calibri" w:hAnsi="Calibri"/>
          <w:color w:val="334155"/>
          <w:sz w:val="20"/>
        </w:rPr>
      </w:r>
      <w:r>
        <w:rPr>
          <w:rFonts w:ascii="Calibri" w:hAnsi="Calibri"/>
          <w:b/>
          <w:color w:val="334155"/>
          <w:sz w:val="20"/>
        </w:rPr>
        <w:t>Yes.</w:t>
      </w:r>
      <w:r>
        <w:rPr>
          <w:rFonts w:ascii="Calibri" w:hAnsi="Calibri"/>
          <w:color w:val="334155"/>
          <w:sz w:val="20"/>
        </w:rPr>
        <w:t xml:space="preserve"> Open </w:t>
      </w:r>
      <w:r>
        <w:rPr>
          <w:rFonts w:ascii="Calibri" w:hAnsi="Calibri"/>
          <w:b/>
          <w:color w:val="334155"/>
          <w:sz w:val="20"/>
        </w:rPr>
        <w:t>Branding &amp; Templates</w:t>
      </w:r>
      <w:r>
        <w:rPr>
          <w:rFonts w:ascii="Calibri" w:hAnsi="Calibri"/>
          <w:color w:val="334155"/>
          <w:sz w:val="20"/>
        </w:rPr>
        <w:t xml:space="preserve"> in the navbar. You can either upload your official PowerPoint template (.pptx / .potx) for automatic palette extraction, or manually customize your primary, accent, surface, and background colors.</w:t>
      </w:r>
    </w:p>
    <w:p>
      <w:pPr>
        <w:spacing w:before="40" w:after="120" w:line="288" w:lineRule="auto"/>
      </w:pPr>
      <w:r>
        <w:rPr>
          <w:rFonts w:ascii="Calibri" w:hAnsi="Calibri"/>
          <w:color w:val="334155"/>
          <w:sz w:val="20"/>
        </w:rPr>
        <w:t>*OmniDash is open-source and released under the MIT License.*</w:t>
      </w:r>
    </w:p>
    <w:p>
      <w:pPr>
        <w:spacing w:before="40" w:after="120" w:line="288" w:lineRule="auto"/>
      </w:pPr>
      <w:r>
        <w:rPr>
          <w:rFonts w:ascii="Calibri" w:hAnsi="Calibri"/>
          <w:color w:val="334155"/>
          <w:sz w:val="20"/>
        </w:rPr>
        <w:t>*Repository: [navzar81-dev/Omni-Dash---Data-Analyser-and-Visualiser](https://github.com/navzar81-dev/Omni-Dash---Data-Analyser-and-Visualiser.git)*</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Calibri" w:hAnsi="Calibri"/>
        <w:color w:val="94A3B8"/>
        <w:sz w:val="17"/>
      </w:rPr>
      <w:t>Confidential · Internal Executive Reference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94A3B8"/>
        <w:sz w:val="17"/>
      </w:rPr>
      <w:t>OmniDash Business Analytics · Comprehensive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