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rFonts w:ascii="Arial" w:cs="Arial" w:eastAsia="Arial" w:hAnsi="Arial"/>
          <w:b/>
          <w:bCs/>
          <w:color w:val="2563EB"/>
          <w:sz w:val="80"/>
          <w:szCs w:val="80"/>
        </w:rPr>
        <w:t xml:space="preserve">ProTrain</w:t>
      </w:r>
    </w:p>
    <w:p>
      <w:pPr>
        <w:spacing w:after="200"/>
        <w:jc w:val="center"/>
      </w:pPr>
      <w:r>
        <w:rPr>
          <w:rFonts w:ascii="Arial" w:cs="Arial" w:eastAsia="Arial" w:hAnsi="Arial"/>
          <w:color w:val="64748B"/>
          <w:sz w:val="44"/>
          <w:szCs w:val="44"/>
        </w:rPr>
        <w:t xml:space="preserve">Training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200"/>
              <w:left w:type="dxa" w:w="400"/>
              <w:bottom w:type="dxa" w:w="200"/>
              <w:right w:type="dxa" w:w="400"/>
            </w:tcMar>
          </w:tcPr>
          <w:p>
            <w:pPr>
              <w:spacing w:after="60"/>
              <w:jc w:val="center"/>
            </w:pPr>
            <w:r>
              <w:rPr>
                <w:rFonts w:ascii="Arial" w:cs="Arial" w:eastAsia="Arial" w:hAnsi="Arial"/>
                <w:b/>
                <w:bCs/>
                <w:color w:val="1D4ED8"/>
                <w:sz w:val="32"/>
                <w:szCs w:val="32"/>
              </w:rPr>
              <w:t xml:space="preserve">Key Features  —  Categorised Reference</w:t>
            </w:r>
          </w:p>
          <w:p>
            <w:pPr>
              <w:spacing w:after="0"/>
              <w:jc w:val="center"/>
            </w:pPr>
            <w:r>
              <w:rPr>
                <w:rFonts w:ascii="Arial" w:cs="Arial" w:eastAsia="Arial" w:hAnsi="Arial"/>
                <w:color w:val="64748B"/>
                <w:sz w:val="22"/>
                <w:szCs w:val="22"/>
              </w:rPr>
              <w:t xml:space="preserve">People Learning &amp; Development  |  Version 33</w:t>
            </w:r>
          </w:p>
        </w:tc>
      </w:tr>
    </w:tbl>
    <w:p>
      <w:pPr>
        <w:pageBreakBefore/>
      </w:pPr>
    </w:p>
    <w:p>
      <w:pPr>
        <w:spacing w:after="160"/>
      </w:pPr>
      <w:r>
        <w:rPr>
          <w:rFonts w:ascii="Arial" w:cs="Arial" w:eastAsia="Arial" w:hAnsi="Arial"/>
          <w:b/>
          <w:bCs/>
          <w:color w:val="1E293B"/>
          <w:sz w:val="22"/>
          <w:szCs w:val="22"/>
        </w:rPr>
        <w:t xml:space="preserve">ProTrain</w:t>
      </w:r>
      <w:r>
        <w:rPr>
          <w:rFonts w:ascii="Arial" w:cs="Arial" w:eastAsia="Arial" w:hAnsi="Arial"/>
          <w:color w:val="1E293B"/>
          <w:sz w:val="22"/>
          <w:szCs w:val="22"/>
        </w:rPr>
        <w:t xml:space="preserve"> is a fully self-contained, browser-based Training Planner — a single HTML file with no installation, no server, and no internet dependency. The features below are grouped into seven functional categories to make it easy to understand what the application does and how each capability supports your planning workflow.</w:t>
      </w:r>
    </w:p>
    <w:p>
      <w:pPr>
        <w:pBdr>
          <w:bottom w:val="single" w:color="CBD5E1"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EFF6FF"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2563EB"/>
                <w:sz w:val="26"/>
                <w:szCs w:val="26"/>
              </w:rPr>
              <w:t xml:space="preserve">Scheduling &amp; Planning</w:t>
            </w:r>
          </w:p>
          <w:p>
            <w:pPr>
              <w:spacing w:after="0"/>
            </w:pPr>
            <w:r>
              <w:rPr>
                <w:rFonts w:ascii="Arial" w:cs="Arial" w:eastAsia="Arial" w:hAnsi="Arial"/>
                <w:i/>
                <w:iCs/>
                <w:color w:val="64748B"/>
                <w:sz w:val="20"/>
                <w:szCs w:val="20"/>
              </w:rPr>
              <w:t xml:space="preserve">Core capability for creating and managing training records and tasks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EFF6FF" w:val="clear"/>
            <w:tcMar>
              <w:top w:type="dxa" w:w="60"/>
              <w:left w:type="dxa" w:w="200"/>
              <w:bottom w:type="dxa" w:w="0"/>
              <w:right w:type="dxa" w:w="120"/>
            </w:tcMar>
          </w:tcPr>
          <w:p>
            <w:pPr>
              <w:spacing w:after="0"/>
            </w:pPr>
            <w:r>
              <w:rPr>
                <w:rFonts w:ascii="Arial" w:cs="Arial" w:eastAsia="Arial" w:hAnsi="Arial"/>
                <w:b/>
                <w:bCs/>
                <w:color w:val="2563EB"/>
                <w:sz w:val="22"/>
                <w:szCs w:val="22"/>
              </w:rPr>
              <w:t xml:space="preserve">  Training &amp; Task Entry</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Supports both Training records (with trainer, room, and participants) and Task records (operational activities with or without resource assignments).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Each entry captures: Training Name, Sub-Section, Start Date, Duration (working days), Hours per Day, Trainer, Room, Colour, and optional Day Overrides for weekends or holidays.</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Duration is always expressed in working days — the system automatically calculates the end date, skipping weekends and all registered public holidays.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Online session toggle removes the room requirement and skips room conflict checks for virtual programmes.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EFF6FF" w:val="clear"/>
            <w:tcMar>
              <w:top w:type="dxa" w:w="60"/>
              <w:left w:type="dxa" w:w="200"/>
              <w:bottom w:type="dxa" w:w="0"/>
              <w:right w:type="dxa" w:w="120"/>
            </w:tcMar>
          </w:tcPr>
          <w:p>
            <w:pPr>
              <w:spacing w:after="0"/>
            </w:pPr>
            <w:r>
              <w:rPr>
                <w:rFonts w:ascii="Arial" w:cs="Arial" w:eastAsia="Arial" w:hAnsi="Arial"/>
                <w:b/>
                <w:bCs/>
                <w:color w:val="2563EB"/>
                <w:sz w:val="22"/>
                <w:szCs w:val="22"/>
              </w:rPr>
              <w:t xml:space="preserve">  Multiple Entry Methods</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Single Entry — via the Add Training or Add Task modal, filled manually.</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Bulk Entry — via CSV import. Paste data directly, upload a .csv file, or download a pre-formatted template. Supports Trainers, Rooms, Holidays, and Trainings in one step.</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Batch Auto-Scheduler — plots multiple training batches in a single action with auto-assigned resources (see Smart Scheduling category below).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EFF6FF" w:val="clear"/>
            <w:tcMar>
              <w:top w:type="dxa" w:w="60"/>
              <w:left w:type="dxa" w:w="200"/>
              <w:bottom w:type="dxa" w:w="0"/>
              <w:right w:type="dxa" w:w="120"/>
            </w:tcMar>
          </w:tcPr>
          <w:p>
            <w:pPr>
              <w:spacing w:after="0"/>
            </w:pPr>
            <w:r>
              <w:rPr>
                <w:rFonts w:ascii="Arial" w:cs="Arial" w:eastAsia="Arial" w:hAnsi="Arial"/>
                <w:b/>
                <w:bCs/>
                <w:color w:val="2563EB"/>
                <w:sz w:val="22"/>
                <w:szCs w:val="22"/>
              </w:rPr>
              <w:t xml:space="preserve">  Editing &amp; Deletion</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Any record can be edited individually via the pencil icon — the scheduling form reopens with all existing data pre-filled.</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Single delete via the bin icon on any row.</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Multi-select checkboxes across Trainings, Tasks, Trainers, Rooms, and Holidays tables allow bulk selection.</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A Delete Selected button removes all checked records in one action.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EFF6FF" w:val="clear"/>
            <w:tcMar>
              <w:top w:type="dxa" w:w="60"/>
              <w:left w:type="dxa" w:w="200"/>
              <w:bottom w:type="dxa" w:w="0"/>
              <w:right w:type="dxa" w:w="120"/>
            </w:tcMar>
          </w:tcPr>
          <w:p>
            <w:pPr>
              <w:spacing w:after="0"/>
            </w:pPr>
            <w:r>
              <w:rPr>
                <w:rFonts w:ascii="Arial" w:cs="Arial" w:eastAsia="Arial" w:hAnsi="Arial"/>
                <w:b/>
                <w:bCs/>
                <w:color w:val="2563EB"/>
                <w:sz w:val="22"/>
                <w:szCs w:val="22"/>
              </w:rPr>
              <w:t xml:space="preserve">  Automatic Status Tracking</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Every training and task is automatically assigned a status — Upcoming, In Progress, or Completed — based purely on today's date relative to the scheduled start and end dates.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No manual status updates are required at any point. Status reflects the live calendar position of each record at all times.</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The Status filter on the Trainings page lets planners instantly isolate records in any particular stage.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EFF6FF" w:val="clear"/>
            <w:tcMar>
              <w:top w:type="dxa" w:w="60"/>
              <w:left w:type="dxa" w:w="200"/>
              <w:bottom w:type="dxa" w:w="0"/>
              <w:right w:type="dxa" w:w="120"/>
            </w:tcMar>
          </w:tcPr>
          <w:p>
            <w:pPr>
              <w:spacing w:after="0"/>
            </w:pPr>
            <w:r>
              <w:rPr>
                <w:rFonts w:ascii="Arial" w:cs="Arial" w:eastAsia="Arial" w:hAnsi="Arial"/>
                <w:b/>
                <w:bCs/>
                <w:color w:val="2563EB"/>
                <w:sz w:val="22"/>
                <w:szCs w:val="22"/>
              </w:rPr>
              <w:t xml:space="preserve">  Sub-Section Categorisation</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Each training is tagged to a Sub-Section (e.g., CC Training, Retail, Field) representing the business unit or programme area it belongs to.</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Sub-Sections are used as a global filter across the Trainings table, the Gantt chart, and the Dashboard — enabling a planner to view only their area of responsibility.</w:t>
            </w:r>
          </w:p>
        </w:tc>
      </w:tr>
      <w:tr>
        <w:tc>
          <w:tcPr>
            <w:tcW w:type="dxa" w:w="9360"/>
            <w:gridSpan w:val="2"/>
            <w:tcBorders>
              <w:top w:val="none" w:color="FFFFFF" w:sz="0"/>
              <w:left w:val="none" w:color="FFFFFF" w:sz="0"/>
              <w:bottom w:val="none" w:color="FFFFFF" w:sz="0"/>
              <w:right w:val="none" w:color="FFFFFF" w:sz="0"/>
            </w:tcBorders>
            <w:shd w:fill="EFF6FF" w:val="clear"/>
            <w:tcMar>
              <w:top w:type="dxa" w:w="50"/>
              <w:left w:type="dxa" w:w="360"/>
              <w:bottom w:type="dxa" w:w="50"/>
              <w:right w:type="dxa" w:w="120"/>
            </w:tcMar>
          </w:tcPr>
          <w:p>
            <w:pPr>
              <w:spacing w:after="0"/>
            </w:pPr>
            <w:r>
              <w:rPr>
                <w:rFonts w:ascii="Arial" w:cs="Arial" w:eastAsia="Arial" w:hAnsi="Arial"/>
                <w:b/>
                <w:bCs/>
                <w:color w:val="2563EB"/>
                <w:sz w:val="22"/>
                <w:szCs w:val="22"/>
              </w:rPr>
              <w:t xml:space="preserve">› </w:t>
            </w:r>
            <w:r>
              <w:rPr>
                <w:rFonts w:ascii="Arial" w:cs="Arial" w:eastAsia="Arial" w:hAnsi="Arial"/>
                <w:color w:val="1E293B"/>
                <w:sz w:val="22"/>
                <w:szCs w:val="22"/>
              </w:rPr>
              <w:t xml:space="preserve">When the application is used centrally across departments, Sub-Sections allow clean bifurcation of data. Each section's data is captured in all standard reports, which can be manually merged for departmental consolidation if a hosted database solution is not in place.</w:t>
            </w:r>
          </w:p>
        </w:tc>
      </w:tr>
    </w:tbl>
    <w:p>
      <w:pPr>
        <w:pBdr>
          <w:bottom w:val="single" w:color="CBD5E1"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6A34A"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0FDF4"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16A34A"/>
                <w:sz w:val="26"/>
                <w:szCs w:val="26"/>
              </w:rPr>
              <w:t xml:space="preserve">Gantt Chart &amp; Visual Timeline</w:t>
            </w:r>
          </w:p>
          <w:p>
            <w:pPr>
              <w:spacing w:after="0"/>
            </w:pPr>
            <w:r>
              <w:rPr>
                <w:rFonts w:ascii="Arial" w:cs="Arial" w:eastAsia="Arial" w:hAnsi="Arial"/>
                <w:i/>
                <w:iCs/>
                <w:color w:val="64748B"/>
                <w:sz w:val="20"/>
                <w:szCs w:val="20"/>
              </w:rPr>
              <w:t xml:space="preserve">Interactive timeline for visualising the full schedule at a glance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4" w:val="clear"/>
            <w:tcMar>
              <w:top w:type="dxa" w:w="60"/>
              <w:left w:type="dxa" w:w="200"/>
              <w:bottom w:type="dxa" w:w="0"/>
              <w:right w:type="dxa" w:w="120"/>
            </w:tcMar>
          </w:tcPr>
          <w:p>
            <w:pPr>
              <w:spacing w:after="0"/>
            </w:pPr>
            <w:r>
              <w:rPr>
                <w:rFonts w:ascii="Arial" w:cs="Arial" w:eastAsia="Arial" w:hAnsi="Arial"/>
                <w:b/>
                <w:bCs/>
                <w:color w:val="16A34A"/>
                <w:sz w:val="22"/>
                <w:szCs w:val="22"/>
              </w:rPr>
              <w:t xml:space="preserve">  Three Gantt Views</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Trainers View — one row per trainer, showing all their booked trainings and tasks as colour-coded bars across the timeline.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Rooms View — one row per room, showing which training occupies each space on each day.</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Activities View — one row per training or task, sorted chronologically for a full programme overview.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4" w:val="clear"/>
            <w:tcMar>
              <w:top w:type="dxa" w:w="60"/>
              <w:left w:type="dxa" w:w="200"/>
              <w:bottom w:type="dxa" w:w="0"/>
              <w:right w:type="dxa" w:w="120"/>
            </w:tcMar>
          </w:tcPr>
          <w:p>
            <w:pPr>
              <w:spacing w:after="0"/>
            </w:pPr>
            <w:r>
              <w:rPr>
                <w:rFonts w:ascii="Arial" w:cs="Arial" w:eastAsia="Arial" w:hAnsi="Arial"/>
                <w:b/>
                <w:bCs/>
                <w:color w:val="16A34A"/>
                <w:sz w:val="22"/>
                <w:szCs w:val="22"/>
              </w:rPr>
              <w:t xml:space="preserve">  Drag-and-Drop Rescheduling</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Any Gantt bar can be dragged left or right to reschedule the training directly on the chart — no need to open the edit modal.</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On drop, the start date updates to the new position and the end date is recalculated from the original working-day duration.</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A conflict check runs immediately after any drag. If the new dates introduce a conflict, the bar is flagged visually (see Conflict Management).</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A confirmation step is presented before the change is committed, preventing accidental rescheduling.</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The timeline scroll position is preserved after any edit — the chart does not jump back to the beginning.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4" w:val="clear"/>
            <w:tcMar>
              <w:top w:type="dxa" w:w="60"/>
              <w:left w:type="dxa" w:w="200"/>
              <w:bottom w:type="dxa" w:w="0"/>
              <w:right w:type="dxa" w:w="120"/>
            </w:tcMar>
          </w:tcPr>
          <w:p>
            <w:pPr>
              <w:spacing w:after="0"/>
            </w:pPr>
            <w:r>
              <w:rPr>
                <w:rFonts w:ascii="Arial" w:cs="Arial" w:eastAsia="Arial" w:hAnsi="Arial"/>
                <w:b/>
                <w:bCs/>
                <w:color w:val="16A34A"/>
                <w:sz w:val="22"/>
                <w:szCs w:val="22"/>
              </w:rPr>
              <w:t xml:space="preserve">  Annual Leave Bars</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Each trainer row displays their registered annual leave periods as shaded background blocks in a distinct colour.</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These bars are non-interactive visual aids — they make it immediately obvious which days a trainer is unavailable when reviewing or planning alongside their schedule.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4" w:val="clear"/>
            <w:tcMar>
              <w:top w:type="dxa" w:w="60"/>
              <w:left w:type="dxa" w:w="200"/>
              <w:bottom w:type="dxa" w:w="0"/>
              <w:right w:type="dxa" w:w="120"/>
            </w:tcMar>
          </w:tcPr>
          <w:p>
            <w:pPr>
              <w:spacing w:after="0"/>
            </w:pPr>
            <w:r>
              <w:rPr>
                <w:rFonts w:ascii="Arial" w:cs="Arial" w:eastAsia="Arial" w:hAnsi="Arial"/>
                <w:b/>
                <w:bCs/>
                <w:color w:val="16A34A"/>
                <w:sz w:val="22"/>
                <w:szCs w:val="22"/>
              </w:rPr>
              <w:t xml:space="preserve">  Sub-Section Filter on Gantt</w:t>
            </w:r>
          </w:p>
        </w:tc>
      </w:tr>
      <w:tr>
        <w:tc>
          <w:tcPr>
            <w:tcW w:type="dxa" w:w="9360"/>
            <w:gridSpan w:val="2"/>
            <w:tcBorders>
              <w:top w:val="none" w:color="FFFFFF" w:sz="0"/>
              <w:left w:val="none" w:color="FFFFFF" w:sz="0"/>
              <w:bottom w:val="none" w:color="FFFFFF" w:sz="0"/>
              <w:right w:val="none" w:color="FFFFFF" w:sz="0"/>
            </w:tcBorders>
            <w:shd w:fill="F0FDF4" w:val="clear"/>
            <w:tcMar>
              <w:top w:type="dxa" w:w="50"/>
              <w:left w:type="dxa" w:w="360"/>
              <w:bottom w:type="dxa" w:w="50"/>
              <w:right w:type="dxa" w:w="120"/>
            </w:tcMar>
          </w:tcPr>
          <w:p>
            <w:pPr>
              <w:spacing w:after="0"/>
            </w:pPr>
            <w:r>
              <w:rPr>
                <w:rFonts w:ascii="Arial" w:cs="Arial" w:eastAsia="Arial" w:hAnsi="Arial"/>
                <w:b/>
                <w:bCs/>
                <w:color w:val="16A34A"/>
                <w:sz w:val="22"/>
                <w:szCs w:val="22"/>
              </w:rPr>
              <w:t xml:space="preserve">› </w:t>
            </w:r>
            <w:r>
              <w:rPr>
                <w:rFonts w:ascii="Arial" w:cs="Arial" w:eastAsia="Arial" w:hAnsi="Arial"/>
                <w:color w:val="1E293B"/>
                <w:sz w:val="22"/>
                <w:szCs w:val="22"/>
              </w:rPr>
              <w:t xml:space="preserve">A dedicated Sub-Section dropdown on the Gantt filters the visible bars to a single business unit, reducing visual clutter on large schedules without affecting the Trainings table view.</w:t>
            </w:r>
          </w:p>
        </w:tc>
      </w:tr>
    </w:tbl>
    <w:p>
      <w:pPr>
        <w:pBdr>
          <w:bottom w:val="single" w:color="CBD5E1" w:sz="4"/>
        </w:pBdr>
        <w:spacing w:after="200" w:before="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A580C"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7ED"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EA580C"/>
                <w:sz w:val="26"/>
                <w:szCs w:val="26"/>
              </w:rPr>
              <w:t xml:space="preserve">Conflict Management</w:t>
            </w:r>
          </w:p>
          <w:p>
            <w:pPr>
              <w:spacing w:after="0"/>
            </w:pPr>
            <w:r>
              <w:rPr>
                <w:rFonts w:ascii="Arial" w:cs="Arial" w:eastAsia="Arial" w:hAnsi="Arial"/>
                <w:i/>
                <w:iCs/>
                <w:color w:val="64748B"/>
                <w:sz w:val="20"/>
                <w:szCs w:val="20"/>
              </w:rPr>
              <w:t xml:space="preserve">Comprehensive conflict detection, visibility, and bypass capability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7ED" w:val="clear"/>
            <w:tcMar>
              <w:top w:type="dxa" w:w="60"/>
              <w:left w:type="dxa" w:w="200"/>
              <w:bottom w:type="dxa" w:w="0"/>
              <w:right w:type="dxa" w:w="120"/>
            </w:tcMar>
          </w:tcPr>
          <w:p>
            <w:pPr>
              <w:spacing w:after="0"/>
            </w:pPr>
            <w:r>
              <w:rPr>
                <w:rFonts w:ascii="Arial" w:cs="Arial" w:eastAsia="Arial" w:hAnsi="Arial"/>
                <w:b/>
                <w:bCs/>
                <w:color w:val="EA580C"/>
                <w:sz w:val="22"/>
                <w:szCs w:val="22"/>
              </w:rPr>
              <w:t xml:space="preserve">  What Is Checked</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Trainer double-booking — same trainer assigned to two or more trainings on overlapping working days.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Room double-booking — same room booked for two or more trainings on overlapping days.</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Trainer annual leave overlap — training dates fall within a trainer's registered leave period (soft warning).</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Holiday conflicts — training scheduled on a registered public holiday (the system adjusts end dates automatically).</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Placeholder/deleted resource — a training referencing a trainer or room that no longer exists in the database.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All conflict types are checked for both single entries and bulk batch-scheduled entries.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7ED" w:val="clear"/>
            <w:tcMar>
              <w:top w:type="dxa" w:w="60"/>
              <w:left w:type="dxa" w:w="200"/>
              <w:bottom w:type="dxa" w:w="0"/>
              <w:right w:type="dxa" w:w="120"/>
            </w:tcMar>
          </w:tcPr>
          <w:p>
            <w:pPr>
              <w:spacing w:after="0"/>
            </w:pPr>
            <w:r>
              <w:rPr>
                <w:rFonts w:ascii="Arial" w:cs="Arial" w:eastAsia="Arial" w:hAnsi="Arial"/>
                <w:b/>
                <w:bCs/>
                <w:color w:val="EA580C"/>
                <w:sz w:val="22"/>
                <w:szCs w:val="22"/>
              </w:rPr>
              <w:t xml:space="preserve">  Conflict Indicators</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Trainings Table: </w:t>
            </w:r>
            <w:r>
              <w:rPr>
                <w:rFonts w:ascii="Arial" w:cs="Arial" w:eastAsia="Arial" w:hAnsi="Arial"/>
                <w:color w:val="1E293B"/>
                <w:sz w:val="22"/>
                <w:szCs w:val="22"/>
              </w:rPr>
              <w:t xml:space="preserve">A red conflict badge appears on the affected row. Hovering over the badge displays a pop-up that clearly states the specific conflict reason (e.g., "Trainer Ahmed is already booked on 14–16 June").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Gantt Chart: </w:t>
            </w:r>
            <w:r>
              <w:rPr>
                <w:rFonts w:ascii="Arial" w:cs="Arial" w:eastAsia="Arial" w:hAnsi="Arial"/>
                <w:color w:val="1E293B"/>
                <w:sz w:val="22"/>
                <w:szCs w:val="22"/>
              </w:rPr>
              <w:t xml:space="preserve">The Gantt bar for the conflicting training blinks with a red border. The bar remains visible on the timeline, and the conflicting days are visually highlighted so the planner can see exactly which dates are at issue.</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Status Filter: </w:t>
            </w:r>
            <w:r>
              <w:rPr>
                <w:rFonts w:ascii="Arial" w:cs="Arial" w:eastAsia="Arial" w:hAnsi="Arial"/>
                <w:color w:val="1E293B"/>
                <w:sz w:val="22"/>
                <w:szCs w:val="22"/>
              </w:rPr>
              <w:t xml:space="preserve">The "Conflict" option in the Status filter on the Trainings page isolates all conflicting records in one view — useful after large batch imports or bulk rescheduling.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7ED" w:val="clear"/>
            <w:tcMar>
              <w:top w:type="dxa" w:w="60"/>
              <w:left w:type="dxa" w:w="200"/>
              <w:bottom w:type="dxa" w:w="0"/>
              <w:right w:type="dxa" w:w="120"/>
            </w:tcMar>
          </w:tcPr>
          <w:p>
            <w:pPr>
              <w:spacing w:after="0"/>
            </w:pPr>
            <w:r>
              <w:rPr>
                <w:rFonts w:ascii="Arial" w:cs="Arial" w:eastAsia="Arial" w:hAnsi="Arial"/>
                <w:b/>
                <w:bCs/>
                <w:color w:val="EA580C"/>
                <w:sz w:val="22"/>
                <w:szCs w:val="22"/>
              </w:rPr>
              <w:t xml:space="preserve">  Conflict Bypass (By Design)</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Conflicts are not hard blocks. The system allows a training to be saved even when a conflict exists — because operational reality sometimes demands it.</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The planner retains full control and can choose to proceed with an overlap, with the conflict remaining clearly visible in both the Trainings table and the Gantt chart until it is resolved.</w:t>
            </w:r>
          </w:p>
        </w:tc>
      </w:tr>
      <w:tr>
        <w:tc>
          <w:tcPr>
            <w:tcW w:type="dxa" w:w="9360"/>
            <w:gridSpan w:val="2"/>
            <w:tcBorders>
              <w:top w:val="none" w:color="FFFFFF" w:sz="0"/>
              <w:left w:val="none" w:color="FFFFFF" w:sz="0"/>
              <w:bottom w:val="none" w:color="FFFFFF" w:sz="0"/>
              <w:right w:val="none" w:color="FFFFFF" w:sz="0"/>
            </w:tcBorders>
            <w:shd w:fill="FFF7ED" w:val="clear"/>
            <w:tcMar>
              <w:top w:type="dxa" w:w="50"/>
              <w:left w:type="dxa" w:w="360"/>
              <w:bottom w:type="dxa" w:w="50"/>
              <w:right w:type="dxa" w:w="120"/>
            </w:tcMar>
          </w:tcPr>
          <w:p>
            <w:pPr>
              <w:spacing w:after="0"/>
            </w:pPr>
            <w:r>
              <w:rPr>
                <w:rFonts w:ascii="Arial" w:cs="Arial" w:eastAsia="Arial" w:hAnsi="Arial"/>
                <w:b/>
                <w:bCs/>
                <w:color w:val="EA580C"/>
                <w:sz w:val="22"/>
                <w:szCs w:val="22"/>
              </w:rPr>
              <w:t xml:space="preserve">› </w:t>
            </w:r>
            <w:r>
              <w:rPr>
                <w:rFonts w:ascii="Arial" w:cs="Arial" w:eastAsia="Arial" w:hAnsi="Arial"/>
                <w:color w:val="1E293B"/>
                <w:sz w:val="22"/>
                <w:szCs w:val="22"/>
              </w:rPr>
              <w:t xml:space="preserve">This approach supports planning scenarios where temporary overrides are needed (e.g., a trainer covers two short sessions on the same day, or a room is shared between morning and afternoon shifts).</w:t>
            </w:r>
          </w:p>
        </w:tc>
      </w:tr>
    </w:tbl>
    <w:p>
      <w:pPr>
        <w:pBdr>
          <w:bottom w:val="single" w:color="CBD5E1"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C3AED"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5F3FF"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7C3AED"/>
                <w:sz w:val="26"/>
                <w:szCs w:val="26"/>
              </w:rPr>
              <w:t xml:space="preserve">Smart Scheduling &amp; Automation</w:t>
            </w:r>
          </w:p>
          <w:p>
            <w:pPr>
              <w:spacing w:after="0"/>
            </w:pPr>
            <w:r>
              <w:rPr>
                <w:rFonts w:ascii="Arial" w:cs="Arial" w:eastAsia="Arial" w:hAnsi="Arial"/>
                <w:i/>
                <w:iCs/>
                <w:color w:val="64748B"/>
                <w:sz w:val="20"/>
                <w:szCs w:val="20"/>
              </w:rPr>
              <w:t xml:space="preserve">Auto-suggest and batch scheduling to eliminate manual resource hunting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5F3FF" w:val="clear"/>
            <w:tcMar>
              <w:top w:type="dxa" w:w="60"/>
              <w:left w:type="dxa" w:w="200"/>
              <w:bottom w:type="dxa" w:w="0"/>
              <w:right w:type="dxa" w:w="120"/>
            </w:tcMar>
          </w:tcPr>
          <w:p>
            <w:pPr>
              <w:spacing w:after="0"/>
            </w:pPr>
            <w:r>
              <w:rPr>
                <w:rFonts w:ascii="Arial" w:cs="Arial" w:eastAsia="Arial" w:hAnsi="Arial"/>
                <w:b/>
                <w:bCs/>
                <w:color w:val="7C3AED"/>
                <w:sz w:val="22"/>
                <w:szCs w:val="22"/>
              </w:rPr>
              <w:t xml:space="preserve">  Auto-Suggest Trainer &amp; Room</w:t>
            </w:r>
          </w:p>
        </w:tc>
      </w:tr>
      <w:tr>
        <w:tc>
          <w:tcPr>
            <w:tcW w:type="dxa" w:w="9360"/>
            <w:gridSpan w:val="2"/>
            <w:tcBorders>
              <w:top w:val="none" w:color="FFFFFF" w:sz="0"/>
              <w:left w:val="none" w:color="FFFFFF" w:sz="0"/>
              <w:bottom w:val="none" w:color="FFFFFF" w:sz="0"/>
              <w:right w:val="none" w:color="FFFFFF" w:sz="0"/>
            </w:tcBorders>
            <w:shd w:fill="F5F3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Available inside the Add / Edit Training modal. After entering a Training Name, Start Date, and Duration, click the Auto-Suggest button to let the system select the best available resources.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Trainer selection: all trainers are checked against the calculated working days. Any trainer on annual leave or already booked is excluded. From remaining free trainers, the one whose expertise tags best match keywords in the training name is recommended.</w:t>
            </w:r>
          </w:p>
        </w:tc>
      </w:tr>
      <w:tr>
        <w:tc>
          <w:tcPr>
            <w:tcW w:type="dxa" w:w="9360"/>
            <w:gridSpan w:val="2"/>
            <w:tcBorders>
              <w:top w:val="none" w:color="FFFFFF" w:sz="0"/>
              <w:left w:val="none" w:color="FFFFFF" w:sz="0"/>
              <w:bottom w:val="none" w:color="FFFFFF" w:sz="0"/>
              <w:right w:val="none" w:color="FFFFFF" w:sz="0"/>
            </w:tcBorders>
            <w:shd w:fill="F5F3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Room selection: the first available room that has no booking conflict on the required dates is suggested.</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Result is applied directly to the Trainer and Room fields — the planner can accept or override the suggestion before saving.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5F3FF" w:val="clear"/>
            <w:tcMar>
              <w:top w:type="dxa" w:w="60"/>
              <w:left w:type="dxa" w:w="200"/>
              <w:bottom w:type="dxa" w:w="0"/>
              <w:right w:type="dxa" w:w="120"/>
            </w:tcMar>
          </w:tcPr>
          <w:p>
            <w:pPr>
              <w:spacing w:after="0"/>
            </w:pPr>
            <w:r>
              <w:rPr>
                <w:rFonts w:ascii="Arial" w:cs="Arial" w:eastAsia="Arial" w:hAnsi="Arial"/>
                <w:b/>
                <w:bCs/>
                <w:color w:val="7C3AED"/>
                <w:sz w:val="22"/>
                <w:szCs w:val="22"/>
              </w:rPr>
              <w:t xml:space="preserve">  Batch Auto-Scheduler</w:t>
            </w:r>
          </w:p>
        </w:tc>
      </w:tr>
      <w:tr>
        <w:tc>
          <w:tcPr>
            <w:tcW w:type="dxa" w:w="9360"/>
            <w:gridSpan w:val="2"/>
            <w:tcBorders>
              <w:top w:val="none" w:color="FFFFFF" w:sz="0"/>
              <w:left w:val="none" w:color="FFFFFF" w:sz="0"/>
              <w:bottom w:val="none" w:color="FFFFFF" w:sz="0"/>
              <w:right w:val="none" w:color="FFFFFF" w:sz="0"/>
            </w:tcBorders>
            <w:shd w:fill="F5F3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Designed for planning multiple training batches simultaneously — paste a list of batches (name, start date, duration, optional hours and colour) and the system assigns trainers and rooms automatically.</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Mode A — Auto Assign Best Fit: </w:t>
            </w:r>
            <w:r>
              <w:rPr>
                <w:rFonts w:ascii="Arial" w:cs="Arial" w:eastAsia="Arial" w:hAnsi="Arial"/>
                <w:color w:val="1E293B"/>
                <w:sz w:val="22"/>
                <w:szCs w:val="22"/>
              </w:rPr>
              <w:t xml:space="preserve">Searches all registered trainers and rooms and assigns the best available match to every batch in the list.</w:t>
            </w:r>
          </w:p>
        </w:tc>
      </w:tr>
      <w:tr>
        <w:tc>
          <w:tcPr>
            <w:tcW w:type="dxa" w:w="9360"/>
            <w:gridSpan w:val="2"/>
            <w:tcBorders>
              <w:top w:val="none" w:color="FFFFFF" w:sz="0"/>
              <w:left w:val="none" w:color="FFFFFF" w:sz="0"/>
              <w:bottom w:val="none" w:color="FFFFFF" w:sz="0"/>
              <w:right w:val="none" w:color="FFFFFF" w:sz="0"/>
            </w:tcBorders>
            <w:shd w:fill="F5F3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Mode B — Pool-Based Auto Assign: </w:t>
            </w:r>
            <w:r>
              <w:rPr>
                <w:rFonts w:ascii="Arial" w:cs="Arial" w:eastAsia="Arial" w:hAnsi="Arial"/>
                <w:color w:val="1E293B"/>
                <w:sz w:val="22"/>
                <w:szCs w:val="22"/>
              </w:rPr>
              <w:t xml:space="preserve">The planner manually selects a subset of trainers and rooms (the "pool") before running the scheduler — useful when only certain resources are eligible for a specific programme.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Preview Schedule shows the proposed trainer and room assignments for all batches before any data is committed. Batches with no available resource are flagged in the preview with a conflict indicator.</w:t>
            </w:r>
          </w:p>
        </w:tc>
      </w:tr>
      <w:tr>
        <w:tc>
          <w:tcPr>
            <w:tcW w:type="dxa" w:w="9360"/>
            <w:gridSpan w:val="2"/>
            <w:tcBorders>
              <w:top w:val="none" w:color="FFFFFF" w:sz="0"/>
              <w:left w:val="none" w:color="FFFFFF" w:sz="0"/>
              <w:bottom w:val="none" w:color="FFFFFF" w:sz="0"/>
              <w:right w:val="none" w:color="FFFFFF" w:sz="0"/>
            </w:tcBorders>
            <w:shd w:fill="F5F3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Plot All Batches commits all previewed records to the schedule in a single action.</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7C3AED"/>
                <w:sz w:val="22"/>
                <w:szCs w:val="22"/>
              </w:rPr>
              <w:t xml:space="preserve">› </w:t>
            </w:r>
            <w:r>
              <w:rPr>
                <w:rFonts w:ascii="Arial" w:cs="Arial" w:eastAsia="Arial" w:hAnsi="Arial"/>
                <w:color w:val="1E293B"/>
                <w:sz w:val="22"/>
                <w:szCs w:val="22"/>
              </w:rPr>
              <w:t xml:space="preserve">Download Template provides a ready-made CSV with the correct column headers for both modes.</w:t>
            </w:r>
          </w:p>
        </w:tc>
      </w:tr>
    </w:tbl>
    <w:p>
      <w:pPr>
        <w:pBdr>
          <w:bottom w:val="single" w:color="CBD5E1" w:sz="4"/>
        </w:pBdr>
        <w:spacing w:after="200" w:before="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11D4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1F2"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E11D48"/>
                <w:sz w:val="26"/>
                <w:szCs w:val="26"/>
              </w:rPr>
              <w:t xml:space="preserve">Reporting, Filtering &amp; Search</w:t>
            </w:r>
          </w:p>
          <w:p>
            <w:pPr>
              <w:spacing w:after="0"/>
            </w:pPr>
            <w:r>
              <w:rPr>
                <w:rFonts w:ascii="Arial" w:cs="Arial" w:eastAsia="Arial" w:hAnsi="Arial"/>
                <w:i/>
                <w:iCs/>
                <w:color w:val="64748B"/>
                <w:sz w:val="20"/>
                <w:szCs w:val="20"/>
              </w:rPr>
              <w:t xml:space="preserve">Visual dashboards, on-demand CSV exports, and flexible data discovery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1F2" w:val="clear"/>
            <w:tcMar>
              <w:top w:type="dxa" w:w="60"/>
              <w:left w:type="dxa" w:w="200"/>
              <w:bottom w:type="dxa" w:w="0"/>
              <w:right w:type="dxa" w:w="120"/>
            </w:tcMar>
          </w:tcPr>
          <w:p>
            <w:pPr>
              <w:spacing w:after="0"/>
            </w:pPr>
            <w:r>
              <w:rPr>
                <w:rFonts w:ascii="Arial" w:cs="Arial" w:eastAsia="Arial" w:hAnsi="Arial"/>
                <w:b/>
                <w:bCs/>
                <w:color w:val="E11D48"/>
                <w:sz w:val="22"/>
                <w:szCs w:val="22"/>
              </w:rPr>
              <w:t xml:space="preserve">  Dashboard — Visual Reporting</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Top-level KPI cards: Total Trainings, Total Tasks, Training Hours, Participants Enrolled, Active Trainers, and Rooms in Use.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Sub-Section breakdown table: splits all metrics by business unit — Training count, Hours, and Participant headcount per section.</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Upcoming Trainings panel: next scheduled sessions with capacity and conflict alerts.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Sub-Section filter on the Dashboard slices all KPIs and the breakdown table to a single department — useful for section-level reviews without switching tools.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1F2" w:val="clear"/>
            <w:tcMar>
              <w:top w:type="dxa" w:w="60"/>
              <w:left w:type="dxa" w:w="200"/>
              <w:bottom w:type="dxa" w:w="0"/>
              <w:right w:type="dxa" w:w="120"/>
            </w:tcMar>
          </w:tcPr>
          <w:p>
            <w:pPr>
              <w:spacing w:after="0"/>
            </w:pPr>
            <w:r>
              <w:rPr>
                <w:rFonts w:ascii="Arial" w:cs="Arial" w:eastAsia="Arial" w:hAnsi="Arial"/>
                <w:b/>
                <w:bCs/>
                <w:color w:val="E11D48"/>
                <w:sz w:val="22"/>
                <w:szCs w:val="22"/>
              </w:rPr>
              <w:t xml:space="preserve">  Reports Tab — On-Demand Downloads</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Trainer Availability Matrix: </w:t>
            </w:r>
            <w:r>
              <w:rPr>
                <w:rFonts w:ascii="Arial" w:cs="Arial" w:eastAsia="Arial" w:hAnsi="Arial"/>
                <w:color w:val="1E293B"/>
                <w:sz w:val="22"/>
                <w:szCs w:val="22"/>
              </w:rPr>
              <w:t xml:space="preserve">A date-spread table showing every trainer's status (Free, Booked, or On Leave) across a user-selected date range. This is the inverse of occupancy reporting — it answers "who is NOT booked on a given day?" Export as CSV.</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Room Availability Report: </w:t>
            </w:r>
            <w:r>
              <w:rPr>
                <w:rFonts w:ascii="Arial" w:cs="Arial" w:eastAsia="Arial" w:hAnsi="Arial"/>
                <w:color w:val="1E293B"/>
                <w:sz w:val="22"/>
                <w:szCs w:val="22"/>
              </w:rPr>
              <w:t xml:space="preserve">The same concept for rooms — shows which rooms are unoccupied across the selected period. Helps identify capacity for new programmes. Export as CSV.</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Participant Roster (Flat File): </w:t>
            </w:r>
            <w:r>
              <w:rPr>
                <w:rFonts w:ascii="Arial" w:cs="Arial" w:eastAsia="Arial" w:hAnsi="Arial"/>
                <w:color w:val="1E293B"/>
                <w:sz w:val="22"/>
                <w:szCs w:val="22"/>
              </w:rPr>
              <w:t xml:space="preserve">A single CSV listing every participant enrolled across all trainings, including Participant Name, Employee ID, Email, Department, Training Name, Trainer, Room, Start and End Dates. Ready for pivot tables or mail-merge.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All reports are section-aware — the Sub-Section column is present in every export, enabling manual merge across sections for central departmental reporting when a hosted solution is not available.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1F2" w:val="clear"/>
            <w:tcMar>
              <w:top w:type="dxa" w:w="60"/>
              <w:left w:type="dxa" w:w="200"/>
              <w:bottom w:type="dxa" w:w="0"/>
              <w:right w:type="dxa" w:w="120"/>
            </w:tcMar>
          </w:tcPr>
          <w:p>
            <w:pPr>
              <w:spacing w:after="0"/>
            </w:pPr>
            <w:r>
              <w:rPr>
                <w:rFonts w:ascii="Arial" w:cs="Arial" w:eastAsia="Arial" w:hAnsi="Arial"/>
                <w:b/>
                <w:bCs/>
                <w:color w:val="E11D48"/>
                <w:sz w:val="22"/>
                <w:szCs w:val="22"/>
              </w:rPr>
              <w:t xml:space="preserve">  Trainings Table — Filtering &amp; Filtered Export</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Filter by Type (Training / Task), Sub-Section, and Status (Upcoming, In Progress, Completed, Conflict) simultaneously.</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Export CSV downloads only the currently filtered rows — not the full dataset. This means planners can extract exactly the slice of data they need without post-processing.</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Column headers are fully sortable: click any header to toggle Ascending, Descending, or default order. Sorting logic is contextual — date columns sort chronologically, text columns sort alphabetically, numeric columns sort numerically.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FF1F2" w:val="clear"/>
            <w:tcMar>
              <w:top w:type="dxa" w:w="60"/>
              <w:left w:type="dxa" w:w="200"/>
              <w:bottom w:type="dxa" w:w="0"/>
              <w:right w:type="dxa" w:w="120"/>
            </w:tcMar>
          </w:tcPr>
          <w:p>
            <w:pPr>
              <w:spacing w:after="0"/>
            </w:pPr>
            <w:r>
              <w:rPr>
                <w:rFonts w:ascii="Arial" w:cs="Arial" w:eastAsia="Arial" w:hAnsi="Arial"/>
                <w:b/>
                <w:bCs/>
                <w:color w:val="E11D48"/>
                <w:sz w:val="22"/>
                <w:szCs w:val="22"/>
              </w:rPr>
              <w:t xml:space="preserve">  Search &amp; Query</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The floating Chat Assistant (bottom-right corner) accepts plain English queries against the live database.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Supports: trainer availability by date ("Is Ahmed free on 15 June?"), room availability by date ("Free rooms on 20 July"), sub-section navigation ("Show CC Trainings"), and training record lookup by name.</w:t>
            </w:r>
          </w:p>
        </w:tc>
      </w:tr>
      <w:tr>
        <w:tc>
          <w:tcPr>
            <w:tcW w:type="dxa" w:w="9360"/>
            <w:gridSpan w:val="2"/>
            <w:tcBorders>
              <w:top w:val="none" w:color="FFFFFF" w:sz="0"/>
              <w:left w:val="none" w:color="FFFFFF" w:sz="0"/>
              <w:bottom w:val="none" w:color="FFFFFF" w:sz="0"/>
              <w:right w:val="none" w:color="FFFFFF" w:sz="0"/>
            </w:tcBorders>
            <w:shd w:fill="FFF1F2"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The chat window can be resized by dragging any edge, undocked to float freely across the screen, and dragged to any position — keeping it accessible without blocking the main view.</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E11D48"/>
                <w:sz w:val="22"/>
                <w:szCs w:val="22"/>
              </w:rPr>
              <w:t xml:space="preserve">› </w:t>
            </w:r>
            <w:r>
              <w:rPr>
                <w:rFonts w:ascii="Arial" w:cs="Arial" w:eastAsia="Arial" w:hAnsi="Arial"/>
                <w:color w:val="1E293B"/>
                <w:sz w:val="22"/>
                <w:szCs w:val="22"/>
              </w:rPr>
              <w:t xml:space="preserve">Note: the assistant is query-based (not AI-powered) — it reads and parses the live database to answer structured scheduling questions.</w:t>
            </w:r>
          </w:p>
        </w:tc>
      </w:tr>
    </w:tbl>
    <w:p>
      <w:pPr>
        <w:pBdr>
          <w:bottom w:val="single" w:color="CBD5E1"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0FDFA"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0D9488"/>
                <w:sz w:val="26"/>
                <w:szCs w:val="26"/>
              </w:rPr>
              <w:t xml:space="preserve">Participant Management</w:t>
            </w:r>
          </w:p>
          <w:p>
            <w:pPr>
              <w:spacing w:after="0"/>
            </w:pPr>
            <w:r>
              <w:rPr>
                <w:rFonts w:ascii="Arial" w:cs="Arial" w:eastAsia="Arial" w:hAnsi="Arial"/>
                <w:i/>
                <w:iCs/>
                <w:color w:val="64748B"/>
                <w:sz w:val="20"/>
                <w:szCs w:val="20"/>
              </w:rPr>
              <w:t xml:space="preserve">Per-training enrolment tracking with bulk upload and reporting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A" w:val="clear"/>
            <w:tcMar>
              <w:top w:type="dxa" w:w="60"/>
              <w:left w:type="dxa" w:w="200"/>
              <w:bottom w:type="dxa" w:w="0"/>
              <w:right w:type="dxa" w:w="120"/>
            </w:tcMar>
          </w:tcPr>
          <w:p>
            <w:pPr>
              <w:spacing w:after="0"/>
            </w:pPr>
            <w:r>
              <w:rPr>
                <w:rFonts w:ascii="Arial" w:cs="Arial" w:eastAsia="Arial" w:hAnsi="Arial"/>
                <w:b/>
                <w:bCs/>
                <w:color w:val="0D9488"/>
                <w:sz w:val="22"/>
                <w:szCs w:val="22"/>
              </w:rPr>
              <w:t xml:space="preserve">  Enrolment &amp; Roster Management</w:t>
            </w:r>
          </w:p>
        </w:tc>
      </w:tr>
      <w:tr>
        <w:tc>
          <w:tcPr>
            <w:tcW w:type="dxa" w:w="9360"/>
            <w:gridSpan w:val="2"/>
            <w:tcBorders>
              <w:top w:val="none" w:color="FFFFFF" w:sz="0"/>
              <w:left w:val="none" w:color="FFFFFF" w:sz="0"/>
              <w:bottom w:val="none" w:color="FFFFFF" w:sz="0"/>
              <w:right w:val="none" w:color="FFFFFF" w:sz="0"/>
            </w:tcBorders>
            <w:shd w:fill="F0FDFA"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Each training session has its own participant roster, accessible via the Participants icon on the training row.</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Add participants individually (Name, Employee ID, Department, Email) or in bulk via CSV upload.</w:t>
            </w:r>
          </w:p>
        </w:tc>
      </w:tr>
      <w:tr>
        <w:tc>
          <w:tcPr>
            <w:tcW w:type="dxa" w:w="9360"/>
            <w:gridSpan w:val="2"/>
            <w:tcBorders>
              <w:top w:val="none" w:color="FFFFFF" w:sz="0"/>
              <w:left w:val="none" w:color="FFFFFF" w:sz="0"/>
              <w:bottom w:val="none" w:color="FFFFFF" w:sz="0"/>
              <w:right w:val="none" w:color="FFFFFF" w:sz="0"/>
            </w:tcBorders>
            <w:shd w:fill="F0FDFA"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Participants can be removed individually using the delete button on each roster row.</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Participant data is stored with the training record and persists across sessions as part of the database.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A" w:val="clear"/>
            <w:tcMar>
              <w:top w:type="dxa" w:w="60"/>
              <w:left w:type="dxa" w:w="200"/>
              <w:bottom w:type="dxa" w:w="0"/>
              <w:right w:type="dxa" w:w="120"/>
            </w:tcMar>
          </w:tcPr>
          <w:p>
            <w:pPr>
              <w:spacing w:after="0"/>
            </w:pPr>
            <w:r>
              <w:rPr>
                <w:rFonts w:ascii="Arial" w:cs="Arial" w:eastAsia="Arial" w:hAnsi="Arial"/>
                <w:b/>
                <w:bCs/>
                <w:color w:val="0D9488"/>
                <w:sz w:val="22"/>
                <w:szCs w:val="22"/>
              </w:rPr>
              <w:t xml:space="preserve">  Capacity Alerts</w:t>
            </w:r>
          </w:p>
        </w:tc>
      </w:tr>
      <w:tr>
        <w:tc>
          <w:tcPr>
            <w:tcW w:type="dxa" w:w="9360"/>
            <w:gridSpan w:val="2"/>
            <w:tcBorders>
              <w:top w:val="none" w:color="FFFFFF" w:sz="0"/>
              <w:left w:val="none" w:color="FFFFFF" w:sz="0"/>
              <w:bottom w:val="none" w:color="FFFFFF" w:sz="0"/>
              <w:right w:val="none" w:color="FFFFFF" w:sz="0"/>
            </w:tcBorders>
            <w:shd w:fill="F0FDFA"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If the number of enrolled participants exceeds the assigned room's maximum capacity, a red or orange alert badge appears on the training row in both the Dashboard and the Trainings table.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Alerts resolve automatically once the room is changed to one with sufficient capacity, or participants are removed to bring enrolment within limit.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0FDFA" w:val="clear"/>
            <w:tcMar>
              <w:top w:type="dxa" w:w="60"/>
              <w:left w:type="dxa" w:w="200"/>
              <w:bottom w:type="dxa" w:w="0"/>
              <w:right w:type="dxa" w:w="120"/>
            </w:tcMar>
          </w:tcPr>
          <w:p>
            <w:pPr>
              <w:spacing w:after="0"/>
            </w:pPr>
            <w:r>
              <w:rPr>
                <w:rFonts w:ascii="Arial" w:cs="Arial" w:eastAsia="Arial" w:hAnsi="Arial"/>
                <w:b/>
                <w:bCs/>
                <w:color w:val="0D9488"/>
                <w:sz w:val="22"/>
                <w:szCs w:val="22"/>
              </w:rPr>
              <w:t xml:space="preserve">  Participant Reporting</w:t>
            </w:r>
          </w:p>
        </w:tc>
      </w:tr>
      <w:tr>
        <w:tc>
          <w:tcPr>
            <w:tcW w:type="dxa" w:w="9360"/>
            <w:gridSpan w:val="2"/>
            <w:tcBorders>
              <w:top w:val="none" w:color="FFFFFF" w:sz="0"/>
              <w:left w:val="none" w:color="FFFFFF" w:sz="0"/>
              <w:bottom w:val="none" w:color="FFFFFF" w:sz="0"/>
              <w:right w:val="none" w:color="FFFFFF" w:sz="0"/>
            </w:tcBorders>
            <w:shd w:fill="F0FDFA"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The Participant Roster export (available from the Reports tab) generates a flat-file CSV of all enrolled participants across all trainings — suitable for consolidated headcount reporting, mail-merge, or HR records.</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0D9488"/>
                <w:sz w:val="22"/>
                <w:szCs w:val="22"/>
              </w:rPr>
              <w:t xml:space="preserve">› </w:t>
            </w:r>
            <w:r>
              <w:rPr>
                <w:rFonts w:ascii="Arial" w:cs="Arial" w:eastAsia="Arial" w:hAnsi="Arial"/>
                <w:color w:val="1E293B"/>
                <w:sz w:val="22"/>
                <w:szCs w:val="22"/>
              </w:rPr>
              <w:t xml:space="preserve">The Dashboard KPI card shows total participants enrolled across the entire schedule (or per Sub-Section when filtered).</w:t>
            </w:r>
          </w:p>
        </w:tc>
      </w:tr>
    </w:tbl>
    <w:p>
      <w:pPr>
        <w:pBdr>
          <w:bottom w:val="single" w:color="CBD5E1" w:sz="4"/>
        </w:pBdr>
        <w:spacing w:after="200" w:before="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7534E"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9" w:val="clear"/>
            <w:tcMar>
              <w:top w:type="dxa" w:w="140"/>
              <w:left w:type="dxa" w:w="200"/>
              <w:bottom w:type="dxa" w:w="140"/>
              <w:right w:type="dxa" w:w="120"/>
            </w:tcMar>
          </w:tcPr>
          <w:p>
            <w:pPr>
              <w:spacing w:after="40"/>
            </w:pPr>
            <w:r>
              <w:rPr>
                <w:rFonts w:ascii="Arial" w:cs="Arial" w:eastAsia="Arial" w:hAnsi="Arial"/>
                <w:b/>
                <w:bCs/>
                <w:color w:val="1E293B"/>
                <w:sz w:val="26"/>
                <w:szCs w:val="26"/>
              </w:rPr>
              <w:t xml:space="preserve">🔒  </w:t>
            </w:r>
            <w:r>
              <w:rPr>
                <w:rFonts w:ascii="Arial" w:cs="Arial" w:eastAsia="Arial" w:hAnsi="Arial"/>
                <w:b/>
                <w:bCs/>
                <w:color w:val="57534E"/>
                <w:sz w:val="26"/>
                <w:szCs w:val="26"/>
              </w:rPr>
              <w:t xml:space="preserve">Access Control &amp; Data Management</w:t>
            </w:r>
          </w:p>
          <w:p>
            <w:pPr>
              <w:spacing w:after="0"/>
            </w:pPr>
            <w:r>
              <w:rPr>
                <w:rFonts w:ascii="Arial" w:cs="Arial" w:eastAsia="Arial" w:hAnsi="Arial"/>
                <w:i/>
                <w:iCs/>
                <w:color w:val="64748B"/>
                <w:sz w:val="20"/>
                <w:szCs w:val="20"/>
              </w:rPr>
              <w:t xml:space="preserve">PIN-based admin lock, database backup/restore, and browser-native storage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AFAF9" w:val="clear"/>
            <w:tcMar>
              <w:top w:type="dxa" w:w="60"/>
              <w:left w:type="dxa" w:w="200"/>
              <w:bottom w:type="dxa" w:w="0"/>
              <w:right w:type="dxa" w:w="120"/>
            </w:tcMar>
          </w:tcPr>
          <w:p>
            <w:pPr>
              <w:spacing w:after="0"/>
            </w:pPr>
            <w:r>
              <w:rPr>
                <w:rFonts w:ascii="Arial" w:cs="Arial" w:eastAsia="Arial" w:hAnsi="Arial"/>
                <w:b/>
                <w:bCs/>
                <w:color w:val="57534E"/>
                <w:sz w:val="22"/>
                <w:szCs w:val="22"/>
              </w:rPr>
              <w:t xml:space="preserve">  Role Model</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Admin (Planner): </w:t>
            </w:r>
            <w:r>
              <w:rPr>
                <w:rFonts w:ascii="Arial" w:cs="Arial" w:eastAsia="Arial" w:hAnsi="Arial"/>
                <w:color w:val="1E293B"/>
                <w:sz w:val="22"/>
                <w:szCs w:val="22"/>
              </w:rPr>
              <w:t xml:space="preserve">Full read/write access. Can add, edit, delete, and bulk-manage all records; run the Batch Scheduler; import/export the database; and change the PIN. Activated by entering the 4-digit PIN.</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Viewer: </w:t>
            </w:r>
            <w:r>
              <w:rPr>
                <w:rFonts w:ascii="Arial" w:cs="Arial" w:eastAsia="Arial" w:hAnsi="Arial"/>
                <w:color w:val="1E293B"/>
                <w:sz w:val="22"/>
                <w:szCs w:val="22"/>
              </w:rPr>
              <w:t xml:space="preserve">Read-only access by default — no PIN required. Viewers can browse all tabs, use the Gantt chart, run the Chat Assistant, and download any report or CSV export. They cannot make any changes to the data.</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This is a lightweight access model appropriate for a single-file application. It is not a full enterprise security system — it is designed to prevent accidental edits while keeping the application portable and server-free.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AFAF9" w:val="clear"/>
            <w:tcMar>
              <w:top w:type="dxa" w:w="60"/>
              <w:left w:type="dxa" w:w="200"/>
              <w:bottom w:type="dxa" w:w="0"/>
              <w:right w:type="dxa" w:w="120"/>
            </w:tcMar>
          </w:tcPr>
          <w:p>
            <w:pPr>
              <w:spacing w:after="0"/>
            </w:pPr>
            <w:r>
              <w:rPr>
                <w:rFonts w:ascii="Arial" w:cs="Arial" w:eastAsia="Arial" w:hAnsi="Arial"/>
                <w:b/>
                <w:bCs/>
                <w:color w:val="57534E"/>
                <w:sz w:val="22"/>
                <w:szCs w:val="22"/>
              </w:rPr>
              <w:t xml:space="preserve">  PIN Management</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Default PIN is 1234. It is strongly recommended to change this immediately on first use.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The Change PIN flow is a three-step process: verify current PIN, enter new PIN, confirm new PIN. The new PIN is saved to browser storage and takes effect immediately.</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The PIN is stored as a SHA-256 hash in localStorage — it is not stored in plain text.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FAFAF9" w:val="clear"/>
            <w:tcMar>
              <w:top w:type="dxa" w:w="60"/>
              <w:left w:type="dxa" w:w="200"/>
              <w:bottom w:type="dxa" w:w="0"/>
              <w:right w:type="dxa" w:w="120"/>
            </w:tcMar>
          </w:tcPr>
          <w:p>
            <w:pPr>
              <w:spacing w:after="0"/>
            </w:pPr>
            <w:r>
              <w:rPr>
                <w:rFonts w:ascii="Arial" w:cs="Arial" w:eastAsia="Arial" w:hAnsi="Arial"/>
                <w:b/>
                <w:bCs/>
                <w:color w:val="57534E"/>
                <w:sz w:val="22"/>
                <w:szCs w:val="22"/>
              </w:rPr>
              <w:t xml:space="preserve">  Data Storage &amp; Backup</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All data (trainers, rooms, trainings, tasks, participants, annual leave, holidays) is stored in the browser's localStorage. Data persists between sessions on the same device and browser profile.</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Export Database saves the complete data store as a JSON file — the recommended backup method after every planning session.</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Import Database loads a previously exported JSON file and replaces the current dataset. Always export a backup before importing.</w:t>
            </w:r>
          </w:p>
        </w:tc>
      </w:tr>
      <w:tr>
        <w:tc>
          <w:tcPr>
            <w:tcW w:type="dxa" w:w="9360"/>
            <w:gridSpan w:val="2"/>
            <w:tcBorders>
              <w:top w:val="none" w:color="FFFFFF" w:sz="0"/>
              <w:left w:val="none" w:color="FFFFFF" w:sz="0"/>
              <w:bottom w:val="none" w:color="FFFFFF" w:sz="0"/>
              <w:right w:val="none" w:color="FFFFFF" w:sz="0"/>
            </w:tcBorders>
            <w:shd w:fill="FFFFFF"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An Unsaved Changes indicator appears in the sidebar whenever data has been modified since the last export, prompting the planner to save.</w:t>
            </w:r>
          </w:p>
        </w:tc>
      </w:tr>
      <w:tr>
        <w:tc>
          <w:tcPr>
            <w:tcW w:type="dxa" w:w="9360"/>
            <w:gridSpan w:val="2"/>
            <w:tcBorders>
              <w:top w:val="none" w:color="FFFFFF" w:sz="0"/>
              <w:left w:val="none" w:color="FFFFFF" w:sz="0"/>
              <w:bottom w:val="none" w:color="FFFFFF" w:sz="0"/>
              <w:right w:val="none" w:color="FFFFFF" w:sz="0"/>
            </w:tcBorders>
            <w:shd w:fill="FAFAF9" w:val="clear"/>
            <w:tcMar>
              <w:top w:type="dxa" w:w="50"/>
              <w:left w:type="dxa" w:w="360"/>
              <w:bottom w:type="dxa" w:w="50"/>
              <w:right w:type="dxa" w:w="120"/>
            </w:tcMar>
          </w:tcPr>
          <w:p>
            <w:pPr>
              <w:spacing w:after="0"/>
            </w:pPr>
            <w:r>
              <w:rPr>
                <w:rFonts w:ascii="Arial" w:cs="Arial" w:eastAsia="Arial" w:hAnsi="Arial"/>
                <w:b/>
                <w:bCs/>
                <w:color w:val="57534E"/>
                <w:sz w:val="22"/>
                <w:szCs w:val="22"/>
              </w:rPr>
              <w:t xml:space="preserve">› </w:t>
            </w:r>
            <w:r>
              <w:rPr>
                <w:rFonts w:ascii="Arial" w:cs="Arial" w:eastAsia="Arial" w:hAnsi="Arial"/>
                <w:color w:val="1E293B"/>
                <w:sz w:val="22"/>
                <w:szCs w:val="22"/>
              </w:rPr>
              <w:t xml:space="preserve">Data is browser-specific and does not sync between devices. Distribute the exported JSON file to share the database with colleagues or as a handover between planners.</w:t>
            </w:r>
          </w:p>
        </w:tc>
      </w:tr>
    </w:tbl>
    <w:p>
      <w:pPr>
        <w:pBdr>
          <w:bottom w:val="single" w:color="CBD5E1" w:sz="4"/>
        </w:pBdr>
        <w:spacing w:after="200" w:before="200"/>
      </w:pPr>
    </w:p>
    <w:p>
      <w:pPr>
        <w:spacing w:after="200"/>
      </w:pPr>
    </w:p>
    <w:p>
      <w:pPr>
        <w:pBdr>
          <w:top w:val="single" w:color="2563EB" w:sz="4" w:space="8"/>
        </w:pBdr>
        <w:spacing w:after="0" w:before="120"/>
        <w:jc w:val="center"/>
      </w:pPr>
      <w:r>
        <w:rPr>
          <w:rFonts w:ascii="Arial" w:cs="Arial" w:eastAsia="Arial" w:hAnsi="Arial"/>
          <w:i/>
          <w:iCs/>
          <w:color w:val="64748B"/>
          <w:sz w:val="20"/>
          <w:szCs w:val="20"/>
        </w:rPr>
        <w:t xml:space="preserve">ProTrain is a single HTML file — no installation, no server, no dependencies.  Built for L&amp;D planners.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60"/>
    </w:pPr>
    <w:r>
      <w:rPr>
        <w:rFonts w:ascii="Arial" w:cs="Arial" w:eastAsia="Arial" w:hAnsi="Arial"/>
        <w:color w:val="64748B"/>
        <w:sz w:val="18"/>
        <w:szCs w:val="18"/>
      </w:rPr>
      <w:t xml:space="preserve">Confidential — Internal Use Only  ·  People Learning &amp;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pPr>
    <w:r>
      <w:rPr>
        <w:rFonts w:ascii="Arial" w:cs="Arial" w:eastAsia="Arial" w:hAnsi="Arial"/>
        <w:b/>
        <w:bCs/>
        <w:color w:val="2563EB"/>
        <w:sz w:val="20"/>
        <w:szCs w:val="20"/>
      </w:rPr>
      <w:t xml:space="preserve">ProTrain  </w:t>
    </w:r>
    <w:r>
      <w:rPr>
        <w:rFonts w:ascii="Arial" w:cs="Arial" w:eastAsia="Arial" w:hAnsi="Arial"/>
        <w:color w:val="64748B"/>
        <w:sz w:val="20"/>
        <w:szCs w:val="20"/>
      </w:rPr>
      <w:t xml:space="preserve">Training Planner  ·  Key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4ED8"/>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2026-06-02T18:59:10.742Z</dcterms:created>
  <dcterms:modified xsi:type="dcterms:W3CDTF">2026-06-02T18:59:10.755Z</dcterms:modified>
</cp:coreProperties>
</file>

<file path=docProps/custom.xml><?xml version="1.0" encoding="utf-8"?>
<Properties xmlns="http://schemas.openxmlformats.org/officeDocument/2006/custom-properties" xmlns:vt="http://schemas.openxmlformats.org/officeDocument/2006/docPropsVTypes"/>
</file>