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Toward resilience of coastal wetlands under accelerating climate change</w:t>
      </w:r>
    </w:p>
    <w:p>
      <w:pPr>
        <w:pStyle w:val="Heading1"/>
      </w:pPr>
      <w:r>
        <w:t>Specific Aims</w:t>
      </w:r>
    </w:p>
    <w:p>
      <w:r>
        <w:t>Aim 1: Advance resilience of coastal wetlands under accelerating climate change via a spectroscopy-focused strategy.</w:t>
      </w:r>
    </w:p>
    <w:p>
      <w:r>
        <w:t>Aim 2: Advance resilience of coastal wetlands under accelerating climate change via a spectroscopy-focused strategy.</w:t>
      </w:r>
    </w:p>
    <w:p>
      <w:pPr>
        <w:pStyle w:val="Heading1"/>
      </w:pPr>
      <w:r>
        <w:t>Background</w:t>
      </w:r>
    </w:p>
    <w:p>
      <w:r>
        <w:t>Findings will be disseminated through peer-reviewed publication and open data release. This proposal addresses resilience of coastal wetlands under accelerating climate change, a problem with substantial significance. Rigorous, pre-registered analyses will guard against bias and support reproducibility. We will assemble a multidisciplinary team with complementary expertise.</w:t>
      </w:r>
    </w:p>
    <w:p>
      <w:pPr>
        <w:pStyle w:val="Heading1"/>
      </w:pPr>
      <w:r>
        <w:t>Approach</w:t>
      </w:r>
    </w:p>
    <w:p>
      <w:r>
        <w:t>This proposal addresses resilience of coastal wetlands under accelerating climate change, a problem with substantial significance. Rigorous, pre-registered analyses will guard against bias and support reproducibility. Our preliminary data suggest a tractable path toward measurable improvement. Prior work has established a partial understanding, yet key gaps remain.</w:t>
      </w:r>
    </w:p>
    <w:p>
      <w:pPr>
        <w:pStyle w:val="Heading1"/>
      </w:pPr>
      <w:r>
        <w:t>Innovation</w:t>
      </w:r>
    </w:p>
    <w:p>
      <w:r>
        <w:t>The approach integrates established spectroscopy methods with a novel analytical pipeline.</w:t>
      </w:r>
    </w:p>
    <w:p>
      <w:pPr>
        <w:pStyle w:val="Heading1"/>
      </w:pPr>
      <w:r>
        <w:t>Investigator Context</w:t>
      </w:r>
    </w:p>
    <w:p>
      <w:r>
        <w:t>The applicant is a community nonprofit partnering with an academic core. The R2 host institution offers focused departmental resources and regional research partnerships, backed by a growing institutional research base.</w:t>
      </w:r>
    </w:p>
    <w:p>
      <w:pPr>
        <w:pStyle w:val="Heading1"/>
      </w:pPr>
      <w:r>
        <w:t>Budget Justification</w:t>
      </w:r>
    </w:p>
    <w:p>
      <w:r>
        <w:t>Total requested support is $662,892 over 4 years at a R2 institution, covering personnel, materials, and dissemination.</w:t>
      </w:r>
    </w:p>
    <w:p>
      <w:pPr>
        <w:pStyle w:val="Heading1"/>
      </w:pPr>
      <w:r>
        <w:t>References</w:t>
      </w:r>
    </w:p>
    <w:p>
      <w:pPr>
        <w:pStyle w:val="ListNumber"/>
      </w:pPr>
      <w:r>
        <w:t>[1] https://doi.org/10.1145/3292500.3330701</w:t>
      </w:r>
    </w:p>
    <w:p>
      <w:pPr>
        <w:pStyle w:val="ListNumber"/>
      </w:pPr>
      <w:r>
        <w:t>[2] https://doi.org/10.1021/jacs.9b02765</w:t>
      </w:r>
    </w:p>
    <w:p>
      <w:pPr>
        <w:pStyle w:val="ListNumber"/>
      </w:pPr>
      <w:r>
        <w:t>[3] https://doi.org/10.1056/NEJMoa2034577</w:t>
      </w:r>
    </w:p>
    <w:p>
      <w:pPr>
        <w:pStyle w:val="ListNumber"/>
      </w:pPr>
      <w:r>
        <w:t>[4] https://doi.org/10.1038/s41586-020-2649-2</w:t>
      </w:r>
    </w:p>
    <w:p>
      <w:pPr>
        <w:pStyle w:val="ListNumber"/>
      </w:pPr>
      <w:r>
        <w:t>[5] https://doi.org/10.1001/jama.2016.9797</w:t>
      </w:r>
    </w:p>
    <w:p>
      <w:pPr>
        <w:pStyle w:val="ListNumber"/>
      </w:pPr>
      <w:r>
        <w:t>[6] https://doi.org/10.1073/pnas.1517384113</w:t>
      </w:r>
    </w:p>
    <w:p>
      <w:pPr>
        <w:pStyle w:val="ListNumber"/>
      </w:pPr>
      <w:r>
        <w:t>[7] https://doi.org/10.1073/pnas.1517384113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